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700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9316</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Forces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Cet établissement de santé a mis en place de nombreux éléments pour fournir et maintenir les services WASH, notamment: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2021-06-24T16:36:03Z</dcterms:modified>
  <cp:category/>
</cp:coreProperties>
</file>