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043E" w:rsidRDefault="0095043E" w:rsidP="0095043E">
      <w:pPr>
        <w:jc w:val="center"/>
        <w:rPr>
          <w:b/>
        </w:rPr>
      </w:pPr>
      <w:r w:rsidRPr="00670A35">
        <w:rPr>
          <w:b/>
        </w:rPr>
        <w:t>ENVIRONMENTAL CLEANING MODULE</w:t>
      </w:r>
      <w:r>
        <w:rPr>
          <w:b/>
        </w:rPr>
        <w:t xml:space="preserve"> </w:t>
      </w:r>
      <w:r w:rsidR="00B04AF3">
        <w:rPr>
          <w:b/>
        </w:rPr>
        <w:t xml:space="preserve">SUPPLEMENTARY INFORMATION </w:t>
      </w:r>
    </w:p>
    <w:p w:rsidR="00FC70C6" w:rsidRPr="00B04AF3" w:rsidRDefault="0095043E" w:rsidP="0095043E">
      <w:pPr>
        <w:jc w:val="center"/>
        <w:rPr>
          <w:b/>
          <w:u w:val="single"/>
        </w:rPr>
      </w:pPr>
      <w:bookmarkStart w:id="0" w:name="_GoBack"/>
      <w:r w:rsidRPr="00B04AF3">
        <w:rPr>
          <w:b/>
          <w:u w:val="single"/>
        </w:rPr>
        <w:t>Methods for assessing cleaning practice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3726"/>
        <w:gridCol w:w="2847"/>
        <w:gridCol w:w="3497"/>
      </w:tblGrid>
      <w:tr w:rsidR="00214217" w:rsidRPr="00BC02B2" w:rsidTr="00CD680A">
        <w:trPr>
          <w:cantSplit/>
          <w:tblHeader/>
          <w:jc w:val="center"/>
        </w:trPr>
        <w:tc>
          <w:tcPr>
            <w:tcW w:w="4073" w:type="dxa"/>
            <w:shd w:val="clear" w:color="auto" w:fill="E7E6E6"/>
          </w:tcPr>
          <w:bookmarkEnd w:id="0"/>
          <w:p w:rsidR="00214217" w:rsidRPr="00BC02B2" w:rsidRDefault="00214217" w:rsidP="00CD680A">
            <w:pPr>
              <w:pStyle w:val="TableColumn"/>
              <w:rPr>
                <w:rFonts w:cs="Calibri"/>
              </w:rPr>
            </w:pPr>
            <w:r w:rsidRPr="00BC02B2">
              <w:rPr>
                <w:rFonts w:cs="Calibri"/>
              </w:rPr>
              <w:t>Method</w:t>
            </w:r>
          </w:p>
        </w:tc>
        <w:tc>
          <w:tcPr>
            <w:tcW w:w="3007" w:type="dxa"/>
            <w:shd w:val="clear" w:color="auto" w:fill="E7E6E6"/>
          </w:tcPr>
          <w:p w:rsidR="00214217" w:rsidRPr="00BC02B2" w:rsidRDefault="00214217" w:rsidP="00CD680A">
            <w:pPr>
              <w:pStyle w:val="TableColumn"/>
              <w:rPr>
                <w:rFonts w:cs="Calibri"/>
              </w:rPr>
            </w:pPr>
            <w:r w:rsidRPr="00BC02B2">
              <w:rPr>
                <w:rFonts w:cs="Calibri"/>
              </w:rPr>
              <w:t>Advantages</w:t>
            </w:r>
          </w:p>
        </w:tc>
        <w:tc>
          <w:tcPr>
            <w:tcW w:w="3748" w:type="dxa"/>
            <w:shd w:val="clear" w:color="auto" w:fill="E7E6E6"/>
          </w:tcPr>
          <w:p w:rsidR="00214217" w:rsidRPr="00BC02B2" w:rsidRDefault="00214217" w:rsidP="00CD680A">
            <w:pPr>
              <w:pStyle w:val="TableColumn"/>
              <w:rPr>
                <w:rFonts w:cs="Calibri"/>
              </w:rPr>
            </w:pPr>
            <w:r w:rsidRPr="00BC02B2">
              <w:rPr>
                <w:rFonts w:cs="Calibri"/>
              </w:rPr>
              <w:t>Disadvantages</w:t>
            </w:r>
          </w:p>
        </w:tc>
      </w:tr>
      <w:tr w:rsidR="00214217" w:rsidRPr="00E51D98" w:rsidTr="00CD680A">
        <w:trPr>
          <w:cantSplit/>
          <w:jc w:val="center"/>
        </w:trPr>
        <w:tc>
          <w:tcPr>
            <w:tcW w:w="4073" w:type="dxa"/>
            <w:tcMar>
              <w:top w:w="58" w:type="dxa"/>
              <w:left w:w="86" w:type="dxa"/>
              <w:bottom w:w="58" w:type="dxa"/>
              <w:right w:w="86" w:type="dxa"/>
            </w:tcMar>
          </w:tcPr>
          <w:p w:rsidR="00214217" w:rsidRPr="00B07C81" w:rsidRDefault="00214217" w:rsidP="00CD680A">
            <w:pPr>
              <w:rPr>
                <w:rFonts w:asciiTheme="minorHAnsi" w:hAnsiTheme="minorHAnsi" w:cstheme="minorHAnsi"/>
              </w:rPr>
            </w:pPr>
            <w:r w:rsidRPr="00B07C81">
              <w:rPr>
                <w:rFonts w:asciiTheme="minorHAnsi" w:hAnsiTheme="minorHAnsi" w:cstheme="minorHAnsi"/>
                <w:b/>
                <w:bCs/>
                <w:color w:val="000000"/>
              </w:rPr>
              <w:t>Performance observations:</w:t>
            </w:r>
            <w:r w:rsidRPr="00B07C81">
              <w:rPr>
                <w:rFonts w:asciiTheme="minorHAnsi" w:hAnsiTheme="minorHAnsi" w:cstheme="minorHAnsi"/>
                <w:color w:val="000000"/>
              </w:rPr>
              <w:t xml:space="preserve"> observers (e.g., cleaning supervisors) use standardized perform structured observations using checklists that are specific to individual patient care areas. The goal is to rate the effectiveness of cleaning staff and adherence to the SOP (such as identifying the number of steps performed correctly).</w:t>
            </w:r>
          </w:p>
        </w:tc>
        <w:tc>
          <w:tcPr>
            <w:tcW w:w="3007" w:type="dxa"/>
            <w:tcMar>
              <w:top w:w="58" w:type="dxa"/>
              <w:left w:w="86" w:type="dxa"/>
              <w:bottom w:w="58" w:type="dxa"/>
              <w:right w:w="86" w:type="dxa"/>
            </w:tcMar>
          </w:tcPr>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Can be used for large areas (units, wards)</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 xml:space="preserve">Easy to implement </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Benchmarking is possible</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Simple and inexpensive</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Allows immediate and direct feedback to individual staff</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 xml:space="preserve">Encourages cleaning staff engagement and input </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Identifies gaps for staff training/job aid improvements</w:t>
            </w:r>
          </w:p>
        </w:tc>
        <w:tc>
          <w:tcPr>
            <w:tcW w:w="3748" w:type="dxa"/>
            <w:tcMar>
              <w:top w:w="58" w:type="dxa"/>
              <w:left w:w="86" w:type="dxa"/>
              <w:bottom w:w="58" w:type="dxa"/>
              <w:right w:w="86" w:type="dxa"/>
            </w:tcMar>
          </w:tcPr>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Subjective—difficulty in standardizing methodology and assessment across observers</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Labor-intensive</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Results affected by Hawthorne bias (i.e., more of an assessment of knowledge than actual practice)</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 xml:space="preserve">Does not assess or correlate to bioburden </w:t>
            </w:r>
          </w:p>
        </w:tc>
      </w:tr>
      <w:tr w:rsidR="00214217" w:rsidRPr="00E51D98" w:rsidTr="00CD680A">
        <w:trPr>
          <w:cantSplit/>
          <w:jc w:val="center"/>
        </w:trPr>
        <w:tc>
          <w:tcPr>
            <w:tcW w:w="4073" w:type="dxa"/>
            <w:tcMar>
              <w:top w:w="58" w:type="dxa"/>
              <w:left w:w="86" w:type="dxa"/>
              <w:bottom w:w="58" w:type="dxa"/>
              <w:right w:w="86" w:type="dxa"/>
            </w:tcMar>
          </w:tcPr>
          <w:p w:rsidR="00214217" w:rsidRPr="00B07C81" w:rsidRDefault="00214217" w:rsidP="00CD680A">
            <w:pPr>
              <w:widowControl w:val="0"/>
              <w:spacing w:after="0" w:line="240" w:lineRule="auto"/>
              <w:rPr>
                <w:rFonts w:asciiTheme="minorHAnsi" w:hAnsiTheme="minorHAnsi" w:cstheme="minorHAnsi"/>
              </w:rPr>
            </w:pPr>
            <w:r w:rsidRPr="00B07C81">
              <w:rPr>
                <w:rFonts w:asciiTheme="minorHAnsi" w:hAnsiTheme="minorHAnsi" w:cstheme="minorHAnsi"/>
                <w:b/>
                <w:bCs/>
                <w:color w:val="000000"/>
              </w:rPr>
              <w:t>Visual assessment of cleanliness</w:t>
            </w:r>
            <w:r w:rsidRPr="00B07C81">
              <w:rPr>
                <w:rFonts w:asciiTheme="minorHAnsi" w:hAnsiTheme="minorHAnsi" w:cstheme="minorHAnsi"/>
                <w:color w:val="000000"/>
              </w:rPr>
              <w:t xml:space="preserve">: after an area has been cleaned, observers </w:t>
            </w:r>
            <w:r w:rsidRPr="00B07C81">
              <w:rPr>
                <w:rFonts w:asciiTheme="minorHAnsi" w:hAnsiTheme="minorHAnsi" w:cstheme="minorHAnsi"/>
              </w:rPr>
              <w:t>check the cleanliness of</w:t>
            </w:r>
            <w:r w:rsidRPr="00B07C81">
              <w:rPr>
                <w:rFonts w:asciiTheme="minorHAnsi" w:hAnsiTheme="minorHAnsi" w:cstheme="minorHAnsi"/>
                <w:color w:val="000000"/>
              </w:rPr>
              <w:t xml:space="preserve"> items. For example, using a gloved hand, wipe surfaces to inspect for dust.</w:t>
            </w:r>
          </w:p>
          <w:p w:rsidR="00214217" w:rsidRPr="00B07C81" w:rsidRDefault="00214217" w:rsidP="00CD680A">
            <w:pPr>
              <w:jc w:val="center"/>
              <w:rPr>
                <w:rFonts w:asciiTheme="minorHAnsi" w:hAnsiTheme="minorHAnsi" w:cstheme="minorHAnsi"/>
              </w:rPr>
            </w:pPr>
          </w:p>
        </w:tc>
        <w:tc>
          <w:tcPr>
            <w:tcW w:w="3007" w:type="dxa"/>
            <w:tcMar>
              <w:top w:w="58" w:type="dxa"/>
              <w:left w:w="86" w:type="dxa"/>
              <w:bottom w:w="58" w:type="dxa"/>
              <w:right w:w="86" w:type="dxa"/>
            </w:tcMar>
          </w:tcPr>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Can be applied to entire facility or specific units/wards</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 xml:space="preserve">Easy to implement </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Benchmarking is possible</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 xml:space="preserve">Inexpensive </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 xml:space="preserve">Allows immediate and direct feedback to individual staff </w:t>
            </w:r>
          </w:p>
        </w:tc>
        <w:tc>
          <w:tcPr>
            <w:tcW w:w="3748" w:type="dxa"/>
            <w:tcMar>
              <w:top w:w="58" w:type="dxa"/>
              <w:left w:w="86" w:type="dxa"/>
              <w:bottom w:w="58" w:type="dxa"/>
              <w:right w:w="86" w:type="dxa"/>
            </w:tcMar>
          </w:tcPr>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Could be delay in feedback dependent on method used to compile results</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 xml:space="preserve">Subjective—based on individual determinations of dust/debris levels </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Does not assess or correlate to bioburden</w:t>
            </w:r>
          </w:p>
        </w:tc>
      </w:tr>
      <w:tr w:rsidR="00214217" w:rsidRPr="00E51D98" w:rsidTr="00CD680A">
        <w:trPr>
          <w:cantSplit/>
          <w:jc w:val="center"/>
        </w:trPr>
        <w:tc>
          <w:tcPr>
            <w:tcW w:w="4073" w:type="dxa"/>
            <w:tcMar>
              <w:top w:w="58" w:type="dxa"/>
              <w:left w:w="86" w:type="dxa"/>
              <w:bottom w:w="58" w:type="dxa"/>
              <w:right w:w="86" w:type="dxa"/>
            </w:tcMar>
          </w:tcPr>
          <w:p w:rsidR="00214217" w:rsidRPr="00E51D98" w:rsidRDefault="00214217" w:rsidP="00CD680A">
            <w:pPr>
              <w:widowControl w:val="0"/>
              <w:spacing w:after="0" w:line="240" w:lineRule="auto"/>
              <w:rPr>
                <w:rFonts w:asciiTheme="minorHAnsi" w:hAnsiTheme="minorHAnsi" w:cstheme="minorHAnsi"/>
                <w:highlight w:val="yellow"/>
              </w:rPr>
            </w:pPr>
            <w:r w:rsidRPr="00B07C81">
              <w:rPr>
                <w:rFonts w:asciiTheme="minorHAnsi" w:hAnsiTheme="minorHAnsi" w:cstheme="minorHAnsi"/>
                <w:b/>
                <w:bCs/>
                <w:color w:val="000000"/>
              </w:rPr>
              <w:t>Fluorescent markers (e.g., UV visible):</w:t>
            </w:r>
            <w:r w:rsidRPr="00B07C81">
              <w:rPr>
                <w:rFonts w:asciiTheme="minorHAnsi" w:hAnsiTheme="minorHAnsi" w:cstheme="minorHAnsi"/>
                <w:color w:val="000000"/>
              </w:rPr>
              <w:t xml:space="preserve"> a tracing agent (e.g., fluorescent material, chemical tracer) mark</w:t>
            </w:r>
            <w:r w:rsidRPr="00B07C81">
              <w:rPr>
                <w:rFonts w:asciiTheme="minorHAnsi" w:hAnsiTheme="minorHAnsi" w:cstheme="minorHAnsi"/>
              </w:rPr>
              <w:t>s</w:t>
            </w:r>
            <w:r w:rsidRPr="00B07C81">
              <w:rPr>
                <w:rFonts w:asciiTheme="minorHAnsi" w:hAnsiTheme="minorHAnsi" w:cstheme="minorHAnsi"/>
                <w:color w:val="000000"/>
              </w:rPr>
              <w:t xml:space="preserve"> predetermined items and surfaces </w:t>
            </w:r>
            <w:r w:rsidRPr="00B07C81">
              <w:rPr>
                <w:rFonts w:asciiTheme="minorHAnsi" w:hAnsiTheme="minorHAnsi" w:cstheme="minorHAnsi"/>
              </w:rPr>
              <w:t>before</w:t>
            </w:r>
            <w:r w:rsidRPr="00B07C81">
              <w:rPr>
                <w:rFonts w:asciiTheme="minorHAnsi" w:hAnsiTheme="minorHAnsi" w:cstheme="minorHAnsi"/>
                <w:color w:val="000000"/>
              </w:rPr>
              <w:t xml:space="preserve"> cleaning. After cleaning, a trained observer uses a detecting agent (e.g., ultraviolet light, enzymatic detector) to determine if any tracing agent is </w:t>
            </w:r>
            <w:r w:rsidRPr="00B07C81">
              <w:rPr>
                <w:rFonts w:asciiTheme="minorHAnsi" w:hAnsiTheme="minorHAnsi" w:cstheme="minorHAnsi"/>
              </w:rPr>
              <w:t>left.</w:t>
            </w:r>
            <w:r w:rsidRPr="00B07C81">
              <w:rPr>
                <w:rFonts w:asciiTheme="minorHAnsi" w:hAnsiTheme="minorHAnsi" w:cstheme="minorHAnsi"/>
                <w:color w:val="000000"/>
              </w:rPr>
              <w:t xml:space="preserve"> The observer counts the items </w:t>
            </w:r>
            <w:r w:rsidRPr="00B07C81">
              <w:rPr>
                <w:rFonts w:asciiTheme="minorHAnsi" w:hAnsiTheme="minorHAnsi" w:cstheme="minorHAnsi"/>
              </w:rPr>
              <w:t>that still show tracing agent</w:t>
            </w:r>
            <w:r w:rsidRPr="00B07C81">
              <w:rPr>
                <w:rFonts w:asciiTheme="minorHAnsi" w:hAnsiTheme="minorHAnsi" w:cstheme="minorHAnsi"/>
                <w:color w:val="000000"/>
              </w:rPr>
              <w:t xml:space="preserve"> and </w:t>
            </w:r>
            <w:r w:rsidRPr="00B07C81">
              <w:rPr>
                <w:rFonts w:asciiTheme="minorHAnsi" w:hAnsiTheme="minorHAnsi" w:cstheme="minorHAnsi"/>
              </w:rPr>
              <w:t>gives a</w:t>
            </w:r>
            <w:r w:rsidRPr="00B07C81">
              <w:rPr>
                <w:rFonts w:asciiTheme="minorHAnsi" w:hAnsiTheme="minorHAnsi" w:cstheme="minorHAnsi"/>
                <w:color w:val="000000"/>
              </w:rPr>
              <w:t xml:space="preserve"> score</w:t>
            </w:r>
            <w:r w:rsidRPr="00B07C81">
              <w:rPr>
                <w:rFonts w:asciiTheme="minorHAnsi" w:hAnsiTheme="minorHAnsi" w:cstheme="minorHAnsi"/>
              </w:rPr>
              <w:t xml:space="preserve"> based on how many </w:t>
            </w:r>
            <w:r w:rsidRPr="00B07C81">
              <w:rPr>
                <w:rFonts w:asciiTheme="minorHAnsi" w:hAnsiTheme="minorHAnsi" w:cstheme="minorHAnsi"/>
                <w:color w:val="000000"/>
              </w:rPr>
              <w:t>were cleaned completely, partially, or not at all.</w:t>
            </w:r>
          </w:p>
        </w:tc>
        <w:tc>
          <w:tcPr>
            <w:tcW w:w="3007" w:type="dxa"/>
            <w:tcMar>
              <w:top w:w="58" w:type="dxa"/>
              <w:left w:w="86" w:type="dxa"/>
              <w:bottom w:w="58" w:type="dxa"/>
              <w:right w:w="86" w:type="dxa"/>
            </w:tcMar>
          </w:tcPr>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Quick</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Provides immediate feedback on performance</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Minimal training required to perform</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Objective</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Benchmarking is possible</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Relatively inexpensive</w:t>
            </w:r>
          </w:p>
        </w:tc>
        <w:tc>
          <w:tcPr>
            <w:tcW w:w="3748" w:type="dxa"/>
            <w:tcMar>
              <w:top w:w="58" w:type="dxa"/>
              <w:left w:w="86" w:type="dxa"/>
              <w:bottom w:w="58" w:type="dxa"/>
              <w:right w:w="86" w:type="dxa"/>
            </w:tcMar>
          </w:tcPr>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 xml:space="preserve">Does not assess or correlate to bioburden </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 xml:space="preserve">Labor-intensive as surfaces should be marked before cleaning and checked after cleaning has been completed </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Some difficulties documented in terms of removal of markers from porous or rough surfaces (e.g., canvas straps)</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Time-intensive</w:t>
            </w:r>
          </w:p>
          <w:p w:rsidR="00214217" w:rsidRPr="00E51D98" w:rsidRDefault="00214217" w:rsidP="00CD680A">
            <w:pPr>
              <w:pStyle w:val="TableBullet1"/>
              <w:widowControl w:val="0"/>
              <w:numPr>
                <w:ilvl w:val="0"/>
                <w:numId w:val="1"/>
              </w:numPr>
              <w:spacing w:after="40" w:line="240" w:lineRule="auto"/>
              <w:rPr>
                <w:rFonts w:asciiTheme="minorHAnsi" w:hAnsiTheme="minorHAnsi" w:cstheme="minorHAnsi"/>
              </w:rPr>
            </w:pPr>
            <w:r w:rsidRPr="00E51D98">
              <w:rPr>
                <w:rFonts w:asciiTheme="minorHAnsi" w:hAnsiTheme="minorHAnsi" w:cstheme="minorHAnsi"/>
              </w:rPr>
              <w:t>Need to vary frequency and objects to prevent monitoring system from becoming known</w:t>
            </w:r>
          </w:p>
        </w:tc>
      </w:tr>
    </w:tbl>
    <w:p w:rsidR="00214217" w:rsidRDefault="00214217"/>
    <w:p w:rsidR="00214217" w:rsidRDefault="00214217"/>
    <w:p w:rsidR="00214217" w:rsidRDefault="00214217"/>
    <w:p w:rsidR="00214217" w:rsidRDefault="00214217"/>
    <w:p w:rsidR="00214217" w:rsidRDefault="00214217"/>
    <w:p w:rsidR="00214217" w:rsidRDefault="00214217"/>
    <w:p w:rsidR="00214217" w:rsidRDefault="00214217">
      <w:r>
        <w:t xml:space="preserve">Methods for Assessing Cleanliness: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3687"/>
        <w:gridCol w:w="2866"/>
        <w:gridCol w:w="3517"/>
      </w:tblGrid>
      <w:tr w:rsidR="00214217" w:rsidRPr="00E51D98" w:rsidTr="00CD680A">
        <w:trPr>
          <w:cantSplit/>
          <w:tblHeader/>
          <w:jc w:val="center"/>
        </w:trPr>
        <w:tc>
          <w:tcPr>
            <w:tcW w:w="3951" w:type="dxa"/>
            <w:shd w:val="clear" w:color="auto" w:fill="D9D9D9"/>
          </w:tcPr>
          <w:p w:rsidR="00214217" w:rsidRPr="00E51D98" w:rsidRDefault="00214217" w:rsidP="00CD680A">
            <w:pPr>
              <w:pStyle w:val="TableColumn"/>
              <w:rPr>
                <w:rFonts w:asciiTheme="minorHAnsi" w:hAnsiTheme="minorHAnsi" w:cstheme="minorHAnsi"/>
              </w:rPr>
            </w:pPr>
            <w:r w:rsidRPr="00E51D98">
              <w:rPr>
                <w:rFonts w:asciiTheme="minorHAnsi" w:hAnsiTheme="minorHAnsi" w:cstheme="minorHAnsi"/>
              </w:rPr>
              <w:t>Method</w:t>
            </w:r>
          </w:p>
        </w:tc>
        <w:tc>
          <w:tcPr>
            <w:tcW w:w="3007" w:type="dxa"/>
            <w:shd w:val="clear" w:color="auto" w:fill="D9D9D9"/>
          </w:tcPr>
          <w:p w:rsidR="00214217" w:rsidRPr="00E51D98" w:rsidRDefault="00214217" w:rsidP="00CD680A">
            <w:pPr>
              <w:pStyle w:val="TableColumn"/>
              <w:rPr>
                <w:rFonts w:asciiTheme="minorHAnsi" w:hAnsiTheme="minorHAnsi" w:cstheme="minorHAnsi"/>
              </w:rPr>
            </w:pPr>
            <w:r w:rsidRPr="00E51D98">
              <w:rPr>
                <w:rFonts w:asciiTheme="minorHAnsi" w:hAnsiTheme="minorHAnsi" w:cstheme="minorHAnsi"/>
              </w:rPr>
              <w:t>Advantages</w:t>
            </w:r>
          </w:p>
        </w:tc>
        <w:tc>
          <w:tcPr>
            <w:tcW w:w="3748" w:type="dxa"/>
            <w:shd w:val="clear" w:color="auto" w:fill="D9D9D9"/>
          </w:tcPr>
          <w:p w:rsidR="00214217" w:rsidRPr="00E51D98" w:rsidRDefault="00214217" w:rsidP="00CD680A">
            <w:pPr>
              <w:pStyle w:val="TableColumn"/>
              <w:rPr>
                <w:rFonts w:asciiTheme="minorHAnsi" w:hAnsiTheme="minorHAnsi" w:cstheme="minorHAnsi"/>
              </w:rPr>
            </w:pPr>
            <w:r w:rsidRPr="00E51D98">
              <w:rPr>
                <w:rFonts w:asciiTheme="minorHAnsi" w:hAnsiTheme="minorHAnsi" w:cstheme="minorHAnsi"/>
              </w:rPr>
              <w:t>Disadvantages</w:t>
            </w:r>
          </w:p>
        </w:tc>
      </w:tr>
      <w:tr w:rsidR="00214217" w:rsidRPr="00E51D98" w:rsidTr="00CD680A">
        <w:trPr>
          <w:cantSplit/>
          <w:jc w:val="center"/>
        </w:trPr>
        <w:tc>
          <w:tcPr>
            <w:tcW w:w="3951" w:type="dxa"/>
            <w:tcMar>
              <w:top w:w="58" w:type="dxa"/>
              <w:left w:w="86" w:type="dxa"/>
              <w:bottom w:w="58" w:type="dxa"/>
              <w:right w:w="86" w:type="dxa"/>
            </w:tcMar>
          </w:tcPr>
          <w:p w:rsidR="00214217" w:rsidRPr="00B07C81" w:rsidRDefault="00214217" w:rsidP="00CD680A">
            <w:pPr>
              <w:rPr>
                <w:rFonts w:asciiTheme="minorHAnsi" w:hAnsiTheme="minorHAnsi" w:cstheme="minorHAnsi"/>
              </w:rPr>
            </w:pPr>
            <w:r w:rsidRPr="00B07C81">
              <w:rPr>
                <w:rFonts w:asciiTheme="minorHAnsi" w:hAnsiTheme="minorHAnsi" w:cstheme="minorHAnsi"/>
                <w:b/>
                <w:bCs/>
                <w:color w:val="000000"/>
              </w:rPr>
              <w:t>ATP bioluminescence:</w:t>
            </w:r>
            <w:r w:rsidRPr="00B07C81">
              <w:rPr>
                <w:rFonts w:asciiTheme="minorHAnsi" w:hAnsiTheme="minorHAnsi" w:cstheme="minorHAnsi"/>
                <w:color w:val="000000"/>
              </w:rPr>
              <w:t xml:space="preserve"> </w:t>
            </w:r>
            <w:r w:rsidRPr="00B07C81">
              <w:rPr>
                <w:rFonts w:asciiTheme="minorHAnsi" w:hAnsiTheme="minorHAnsi" w:cstheme="minorHAnsi"/>
                <w:color w:val="000000"/>
              </w:rPr>
              <w:br/>
              <w:t>detection of ATP indicates that organic m</w:t>
            </w:r>
            <w:r w:rsidRPr="00B07C81">
              <w:rPr>
                <w:rFonts w:asciiTheme="minorHAnsi" w:hAnsiTheme="minorHAnsi" w:cstheme="minorHAnsi"/>
                <w:color w:val="582808"/>
              </w:rPr>
              <w:t>aterial</w:t>
            </w:r>
            <w:r w:rsidRPr="00B07C81">
              <w:rPr>
                <w:rFonts w:asciiTheme="minorHAnsi" w:hAnsiTheme="minorHAnsi" w:cstheme="minorHAnsi"/>
                <w:color w:val="000000"/>
              </w:rPr>
              <w:t xml:space="preserve"> (microbial or biologic) is present on an object or surface. Objects are tested before and after cleaning to determine the effectiveness of a cleaning procedure. A score, based on proportion of surfaces </w:t>
            </w:r>
            <w:r>
              <w:rPr>
                <w:rFonts w:asciiTheme="minorHAnsi" w:hAnsiTheme="minorHAnsi" w:cstheme="minorHAnsi"/>
                <w:color w:val="000000"/>
              </w:rPr>
              <w:t>with ATP under a pre-determined threshold</w:t>
            </w:r>
            <w:r w:rsidRPr="00B07C81">
              <w:rPr>
                <w:rFonts w:asciiTheme="minorHAnsi" w:hAnsiTheme="minorHAnsi" w:cstheme="minorHAnsi"/>
                <w:color w:val="000000"/>
              </w:rPr>
              <w:t xml:space="preserve"> after cleaning, can indicate degree of cleanliness. </w:t>
            </w:r>
          </w:p>
        </w:tc>
        <w:tc>
          <w:tcPr>
            <w:tcW w:w="3007" w:type="dxa"/>
            <w:tcMar>
              <w:top w:w="58" w:type="dxa"/>
              <w:left w:w="86" w:type="dxa"/>
              <w:bottom w:w="58" w:type="dxa"/>
              <w:right w:w="86" w:type="dxa"/>
            </w:tcMar>
          </w:tcPr>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 xml:space="preserve">Quick </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Provides immediate feedback</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Minimal training required to perform</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Objective</w:t>
            </w:r>
          </w:p>
        </w:tc>
        <w:tc>
          <w:tcPr>
            <w:tcW w:w="3748" w:type="dxa"/>
            <w:tcMar>
              <w:top w:w="58" w:type="dxa"/>
              <w:left w:w="86" w:type="dxa"/>
              <w:bottom w:w="58" w:type="dxa"/>
              <w:right w:w="86" w:type="dxa"/>
            </w:tcMar>
          </w:tcPr>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 xml:space="preserve">Expensive </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Low sensitivity and specificity</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 xml:space="preserve">Lacks a standardized threshold or benchmark for determining the level or status of cleanliness (i.e., "safe" post-cleaning ATL levels) for specific surfaces or patient care areas </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Variable benchmarks</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Technology constantly changing</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Interference of cleaning products, supplies and in some cases surfaces, which can both reduce or enhanced ATP levels (e.g., bleach, microfiber, stainless steel)</w:t>
            </w:r>
          </w:p>
        </w:tc>
      </w:tr>
      <w:tr w:rsidR="00214217" w:rsidRPr="00E51D98" w:rsidTr="00CD680A">
        <w:trPr>
          <w:cantSplit/>
          <w:jc w:val="center"/>
        </w:trPr>
        <w:tc>
          <w:tcPr>
            <w:tcW w:w="3951" w:type="dxa"/>
            <w:tcMar>
              <w:top w:w="58" w:type="dxa"/>
              <w:left w:w="86" w:type="dxa"/>
              <w:bottom w:w="58" w:type="dxa"/>
              <w:right w:w="86" w:type="dxa"/>
            </w:tcMar>
          </w:tcPr>
          <w:p w:rsidR="00214217" w:rsidRPr="00B07C81" w:rsidRDefault="00214217" w:rsidP="00CD680A">
            <w:pPr>
              <w:widowControl w:val="0"/>
              <w:spacing w:after="0"/>
              <w:rPr>
                <w:rFonts w:asciiTheme="minorHAnsi" w:hAnsiTheme="minorHAnsi" w:cstheme="minorHAnsi"/>
              </w:rPr>
            </w:pPr>
            <w:r w:rsidRPr="00B07C81">
              <w:rPr>
                <w:rFonts w:asciiTheme="minorHAnsi" w:hAnsiTheme="minorHAnsi" w:cstheme="minorHAnsi"/>
                <w:b/>
                <w:bCs/>
                <w:color w:val="000000"/>
              </w:rPr>
              <w:t>Environmental cultures:</w:t>
            </w:r>
            <w:r w:rsidRPr="00B07C81">
              <w:rPr>
                <w:rFonts w:asciiTheme="minorHAnsi" w:hAnsiTheme="minorHAnsi" w:cstheme="minorHAnsi"/>
                <w:color w:val="000000"/>
              </w:rPr>
              <w:t xml:space="preserve"> </w:t>
            </w:r>
            <w:r w:rsidRPr="00B07C81">
              <w:rPr>
                <w:rFonts w:asciiTheme="minorHAnsi" w:hAnsiTheme="minorHAnsi" w:cstheme="minorHAnsi"/>
                <w:color w:val="000000"/>
              </w:rPr>
              <w:br/>
              <w:t>is the only direct measurement of levels of microbial contamination after</w:t>
            </w:r>
            <w:r w:rsidRPr="00B07C81">
              <w:rPr>
                <w:rFonts w:asciiTheme="minorHAnsi" w:hAnsiTheme="minorHAnsi" w:cstheme="minorHAnsi"/>
              </w:rPr>
              <w:t xml:space="preserve"> cleaning</w:t>
            </w:r>
            <w:r w:rsidRPr="00B07C81">
              <w:rPr>
                <w:rFonts w:asciiTheme="minorHAnsi" w:hAnsiTheme="minorHAnsi" w:cstheme="minorHAnsi"/>
                <w:color w:val="000000"/>
              </w:rPr>
              <w:t xml:space="preserve">. In this process, cultures are taken (by swabbing or use of RODAC or contact agar plates) after an item is cleaned. </w:t>
            </w:r>
            <w:r w:rsidRPr="00B07C81">
              <w:rPr>
                <w:rFonts w:asciiTheme="minorHAnsi" w:hAnsiTheme="minorHAnsi" w:cstheme="minorHAnsi"/>
              </w:rPr>
              <w:t>S</w:t>
            </w:r>
            <w:r w:rsidRPr="00B07C81">
              <w:rPr>
                <w:rFonts w:asciiTheme="minorHAnsi" w:hAnsiTheme="minorHAnsi" w:cstheme="minorHAnsi"/>
                <w:color w:val="000000"/>
              </w:rPr>
              <w:t xml:space="preserve">wabbing can indicate the presence of </w:t>
            </w:r>
            <w:r w:rsidRPr="00B07C81">
              <w:rPr>
                <w:rFonts w:asciiTheme="minorHAnsi" w:hAnsiTheme="minorHAnsi" w:cstheme="minorHAnsi"/>
              </w:rPr>
              <w:t xml:space="preserve">a </w:t>
            </w:r>
            <w:r w:rsidRPr="00B07C81">
              <w:rPr>
                <w:rFonts w:asciiTheme="minorHAnsi" w:hAnsiTheme="minorHAnsi" w:cstheme="minorHAnsi"/>
                <w:color w:val="000000"/>
              </w:rPr>
              <w:t>specific bacteria on a surface.</w:t>
            </w:r>
            <w:r w:rsidRPr="00B07C81">
              <w:rPr>
                <w:rFonts w:asciiTheme="minorHAnsi" w:hAnsiTheme="minorHAnsi" w:cstheme="minorHAnsi"/>
              </w:rPr>
              <w:t xml:space="preserve"> C</w:t>
            </w:r>
            <w:r w:rsidRPr="00B07C81">
              <w:rPr>
                <w:rFonts w:asciiTheme="minorHAnsi" w:hAnsiTheme="minorHAnsi" w:cstheme="minorHAnsi"/>
                <w:color w:val="000000"/>
              </w:rPr>
              <w:t xml:space="preserve">ontact agar plates </w:t>
            </w:r>
            <w:r w:rsidRPr="00B07C81">
              <w:rPr>
                <w:rFonts w:asciiTheme="minorHAnsi" w:hAnsiTheme="minorHAnsi" w:cstheme="minorHAnsi"/>
              </w:rPr>
              <w:t>can show</w:t>
            </w:r>
            <w:r w:rsidRPr="00B07C81">
              <w:rPr>
                <w:rFonts w:asciiTheme="minorHAnsi" w:hAnsiTheme="minorHAnsi" w:cstheme="minorHAnsi"/>
                <w:color w:val="000000"/>
              </w:rPr>
              <w:t xml:space="preserve"> the level of bacterial contamination on a</w:t>
            </w:r>
            <w:r>
              <w:rPr>
                <w:rFonts w:asciiTheme="minorHAnsi" w:hAnsiTheme="minorHAnsi" w:cstheme="minorHAnsi"/>
                <w:color w:val="000000"/>
              </w:rPr>
              <w:t>n area of a large, flat</w:t>
            </w:r>
            <w:r w:rsidRPr="00B07C81">
              <w:rPr>
                <w:rFonts w:asciiTheme="minorHAnsi" w:hAnsiTheme="minorHAnsi" w:cstheme="minorHAnsi"/>
                <w:color w:val="000000"/>
              </w:rPr>
              <w:t xml:space="preserve"> surface.</w:t>
            </w:r>
          </w:p>
        </w:tc>
        <w:tc>
          <w:tcPr>
            <w:tcW w:w="3007" w:type="dxa"/>
            <w:tcMar>
              <w:top w:w="58" w:type="dxa"/>
              <w:left w:w="86" w:type="dxa"/>
              <w:bottom w:w="58" w:type="dxa"/>
              <w:right w:w="86" w:type="dxa"/>
            </w:tcMar>
          </w:tcPr>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High sensitivity and specificity</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Provides direct indication of presence of specific pathogens (direct swab cultures)</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May be useful for identifying source of outbr</w:t>
            </w:r>
            <w:r w:rsidRPr="00B07C81">
              <w:rPr>
                <w:rFonts w:asciiTheme="minorHAnsi" w:hAnsiTheme="minorHAnsi" w:cstheme="minorHAnsi"/>
              </w:rPr>
              <w:t>eaks and/or environmental reservoirs</w:t>
            </w:r>
            <w:r>
              <w:rPr>
                <w:rFonts w:asciiTheme="minorHAnsi" w:hAnsiTheme="minorHAnsi" w:cstheme="minorHAnsi"/>
              </w:rPr>
              <w:t xml:space="preserve"> </w:t>
            </w:r>
            <w:r w:rsidRPr="00E51D98">
              <w:rPr>
                <w:rFonts w:asciiTheme="minorHAnsi" w:hAnsiTheme="minorHAnsi" w:cstheme="minorHAnsi"/>
              </w:rPr>
              <w:t xml:space="preserve"> </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Objective</w:t>
            </w:r>
          </w:p>
        </w:tc>
        <w:tc>
          <w:tcPr>
            <w:tcW w:w="3748" w:type="dxa"/>
            <w:tcMar>
              <w:top w:w="58" w:type="dxa"/>
              <w:left w:w="86" w:type="dxa"/>
              <w:bottom w:w="58" w:type="dxa"/>
              <w:right w:w="86" w:type="dxa"/>
            </w:tcMar>
          </w:tcPr>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 xml:space="preserve">Not recommended for routine use </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 xml:space="preserve">Expensive </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Prolonged time for results (&gt;48hrs)</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Requires access to laboratory resources and trained personnel for interpreting results</w:t>
            </w:r>
          </w:p>
          <w:p w:rsidR="00214217" w:rsidRPr="00E51D98" w:rsidRDefault="00214217" w:rsidP="00214217">
            <w:pPr>
              <w:pStyle w:val="TableBullet1"/>
              <w:widowControl w:val="0"/>
              <w:numPr>
                <w:ilvl w:val="0"/>
                <w:numId w:val="2"/>
              </w:numPr>
              <w:spacing w:after="40"/>
              <w:rPr>
                <w:rFonts w:asciiTheme="minorHAnsi" w:hAnsiTheme="minorHAnsi" w:cstheme="minorHAnsi"/>
              </w:rPr>
            </w:pPr>
            <w:r w:rsidRPr="00E51D98">
              <w:rPr>
                <w:rFonts w:asciiTheme="minorHAnsi" w:hAnsiTheme="minorHAnsi" w:cstheme="minorHAnsi"/>
              </w:rPr>
              <w:t>Lack of defined threshold or benchmark for determining the level or status of cleanliness (e.g., colony-forming units per surface area)</w:t>
            </w:r>
          </w:p>
        </w:tc>
      </w:tr>
    </w:tbl>
    <w:p w:rsidR="00214217" w:rsidRDefault="00214217"/>
    <w:sectPr w:rsidR="00214217" w:rsidSect="00D2690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A37E76"/>
    <w:multiLevelType w:val="hybridMultilevel"/>
    <w:tmpl w:val="8B281B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7FA0982"/>
    <w:multiLevelType w:val="hybridMultilevel"/>
    <w:tmpl w:val="ECA294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217"/>
    <w:rsid w:val="00214217"/>
    <w:rsid w:val="00931B32"/>
    <w:rsid w:val="0095043E"/>
    <w:rsid w:val="00B04AF3"/>
    <w:rsid w:val="00D26908"/>
    <w:rsid w:val="00FC7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2115A"/>
  <w15:chartTrackingRefBased/>
  <w15:docId w15:val="{ACF36882-E27C-4A67-A6D1-F68F5A95B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421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214217"/>
    <w:rPr>
      <w:sz w:val="16"/>
      <w:szCs w:val="16"/>
    </w:rPr>
  </w:style>
  <w:style w:type="paragraph" w:styleId="CommentText">
    <w:name w:val="annotation text"/>
    <w:basedOn w:val="Normal"/>
    <w:link w:val="CommentTextChar"/>
    <w:uiPriority w:val="99"/>
    <w:unhideWhenUsed/>
    <w:rsid w:val="00214217"/>
    <w:pPr>
      <w:spacing w:line="240" w:lineRule="auto"/>
    </w:pPr>
    <w:rPr>
      <w:sz w:val="20"/>
      <w:szCs w:val="20"/>
    </w:rPr>
  </w:style>
  <w:style w:type="character" w:customStyle="1" w:styleId="CommentTextChar">
    <w:name w:val="Comment Text Char"/>
    <w:basedOn w:val="DefaultParagraphFont"/>
    <w:link w:val="CommentText"/>
    <w:uiPriority w:val="99"/>
    <w:rsid w:val="00214217"/>
    <w:rPr>
      <w:rFonts w:ascii="Calibri" w:eastAsia="Calibri" w:hAnsi="Calibri" w:cs="Times New Roman"/>
      <w:sz w:val="20"/>
      <w:szCs w:val="20"/>
    </w:rPr>
  </w:style>
  <w:style w:type="paragraph" w:customStyle="1" w:styleId="TableColumn">
    <w:name w:val="TableColumn"/>
    <w:qFormat/>
    <w:rsid w:val="00214217"/>
    <w:pPr>
      <w:widowControl w:val="0"/>
      <w:spacing w:after="0" w:line="240" w:lineRule="auto"/>
    </w:pPr>
    <w:rPr>
      <w:rFonts w:ascii="Calibri" w:eastAsia="Calibri" w:hAnsi="Calibri" w:cs="Times New Roman"/>
      <w:b/>
    </w:rPr>
  </w:style>
  <w:style w:type="paragraph" w:customStyle="1" w:styleId="TableBullet1">
    <w:name w:val="TableBullet1"/>
    <w:basedOn w:val="ListParagraph"/>
    <w:qFormat/>
    <w:rsid w:val="00214217"/>
    <w:pPr>
      <w:spacing w:after="0"/>
      <w:ind w:left="0"/>
    </w:pPr>
    <w:rPr>
      <w:rFonts w:ascii="Times New Roman" w:hAnsi="Times New Roman"/>
    </w:rPr>
  </w:style>
  <w:style w:type="paragraph" w:styleId="ListParagraph">
    <w:name w:val="List Paragraph"/>
    <w:basedOn w:val="Normal"/>
    <w:uiPriority w:val="34"/>
    <w:qFormat/>
    <w:rsid w:val="00214217"/>
    <w:pPr>
      <w:ind w:left="720"/>
      <w:contextualSpacing/>
    </w:pPr>
  </w:style>
  <w:style w:type="paragraph" w:styleId="BalloonText">
    <w:name w:val="Balloon Text"/>
    <w:basedOn w:val="Normal"/>
    <w:link w:val="BalloonTextChar"/>
    <w:uiPriority w:val="99"/>
    <w:semiHidden/>
    <w:unhideWhenUsed/>
    <w:rsid w:val="002142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421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647</Words>
  <Characters>3692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Molly (CDC/DDID/NCEZID/DHQP)</dc:creator>
  <cp:keywords/>
  <dc:description/>
  <cp:lastModifiedBy>HAYTER, Arabella</cp:lastModifiedBy>
  <cp:revision>3</cp:revision>
  <cp:lastPrinted>2020-05-08T07:08:00Z</cp:lastPrinted>
  <dcterms:created xsi:type="dcterms:W3CDTF">2020-02-27T16:15:00Z</dcterms:created>
  <dcterms:modified xsi:type="dcterms:W3CDTF">2020-05-08T07:09:00Z</dcterms:modified>
</cp:coreProperties>
</file>