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C5C9B" w14:textId="189C8D35" w:rsidR="001740A7" w:rsidRPr="001740A7" w:rsidRDefault="001740A7" w:rsidP="001740A7">
      <w:pPr>
        <w:pBdr>
          <w:bottom w:val="single" w:sz="4" w:space="1" w:color="auto"/>
        </w:pBdr>
        <w:autoSpaceDE w:val="0"/>
        <w:autoSpaceDN w:val="0"/>
        <w:adjustRightInd w:val="0"/>
        <w:jc w:val="center"/>
        <w:rPr>
          <w:rFonts w:ascii="Arial" w:eastAsiaTheme="minorHAnsi" w:hAnsi="Arial" w:cs="Arial"/>
          <w:b/>
          <w:lang w:val="en-GB"/>
        </w:rPr>
      </w:pPr>
      <w:r w:rsidRPr="001740A7">
        <w:rPr>
          <w:rFonts w:ascii="Arial" w:hAnsi="Arial" w:cs="Arial"/>
          <w:b/>
          <w:lang w:val="en-GB"/>
        </w:rPr>
        <w:t xml:space="preserve">WASH FIT ENVIRONMENTAL CLEANING </w:t>
      </w:r>
      <w:r w:rsidR="00D3272C">
        <w:rPr>
          <w:rFonts w:ascii="Arial" w:hAnsi="Arial" w:cs="Arial"/>
          <w:b/>
          <w:lang w:val="en-GB"/>
        </w:rPr>
        <w:t xml:space="preserve">TECHNICAL </w:t>
      </w:r>
      <w:r w:rsidRPr="001740A7">
        <w:rPr>
          <w:rFonts w:ascii="Arial" w:hAnsi="Arial" w:cs="Arial"/>
          <w:b/>
          <w:lang w:val="en-GB"/>
        </w:rPr>
        <w:t xml:space="preserve">MODULE </w:t>
      </w:r>
      <w:bookmarkStart w:id="0" w:name="_GoBack"/>
      <w:bookmarkEnd w:id="0"/>
    </w:p>
    <w:p w14:paraId="2F598ACA" w14:textId="77777777" w:rsidR="001740A7" w:rsidRPr="001740A7" w:rsidRDefault="001740A7" w:rsidP="001740A7">
      <w:pPr>
        <w:pBdr>
          <w:bottom w:val="single" w:sz="4" w:space="1" w:color="auto"/>
        </w:pBdr>
        <w:autoSpaceDE w:val="0"/>
        <w:autoSpaceDN w:val="0"/>
        <w:adjustRightInd w:val="0"/>
        <w:jc w:val="center"/>
        <w:rPr>
          <w:rFonts w:ascii="Arial" w:hAnsi="Arial" w:cs="Arial"/>
          <w:b/>
          <w:lang w:val="en-GB"/>
        </w:rPr>
      </w:pPr>
      <w:r w:rsidRPr="001740A7">
        <w:rPr>
          <w:rFonts w:ascii="Arial" w:hAnsi="Arial" w:cs="Arial"/>
          <w:b/>
          <w:lang w:val="en-GB"/>
        </w:rPr>
        <w:t xml:space="preserve">Time to complete: 10 minutes  </w:t>
      </w:r>
    </w:p>
    <w:p w14:paraId="192E311D" w14:textId="77777777" w:rsidR="00FC70C6" w:rsidRPr="001740A7" w:rsidRDefault="00FC70C6">
      <w:pPr>
        <w:rPr>
          <w:rFonts w:ascii="Arial" w:hAnsi="Arial" w:cs="Arial"/>
          <w:lang w:val="en-GB"/>
        </w:rPr>
      </w:pPr>
    </w:p>
    <w:p w14:paraId="1C1EF530" w14:textId="77777777" w:rsidR="00A6168D" w:rsidRPr="001740A7" w:rsidRDefault="00A6168D" w:rsidP="00A6168D">
      <w:pPr>
        <w:pStyle w:val="Heading1"/>
        <w:ind w:right="0"/>
        <w:rPr>
          <w:rFonts w:ascii="Arial" w:hAnsi="Arial" w:cs="Arial"/>
        </w:rPr>
      </w:pPr>
      <w:r w:rsidRPr="001740A7">
        <w:rPr>
          <w:rFonts w:ascii="Arial" w:hAnsi="Arial" w:cs="Arial"/>
        </w:rPr>
        <w:t xml:space="preserve">Risk-assessment for determining environmental cleaning method and frequency </w:t>
      </w:r>
    </w:p>
    <w:p w14:paraId="6AB0E922" w14:textId="77777777" w:rsidR="00A6168D" w:rsidRPr="001740A7" w:rsidRDefault="00A6168D" w:rsidP="00A6168D">
      <w:pPr>
        <w:pStyle w:val="xmsonormal"/>
        <w:widowControl w:val="0"/>
        <w:spacing w:before="240" w:beforeAutospacing="0" w:after="240" w:afterAutospacing="0"/>
        <w:rPr>
          <w:rFonts w:ascii="Arial" w:hAnsi="Arial" w:cs="Arial"/>
          <w:color w:val="212121"/>
          <w:sz w:val="24"/>
          <w:szCs w:val="24"/>
          <w:lang w:val="en-US"/>
        </w:rPr>
      </w:pPr>
      <w:r w:rsidRPr="001740A7">
        <w:rPr>
          <w:rFonts w:ascii="Arial" w:hAnsi="Arial" w:cs="Arial"/>
          <w:color w:val="212121"/>
          <w:sz w:val="24"/>
          <w:szCs w:val="24"/>
          <w:lang w:val="en-US"/>
        </w:rPr>
        <w:t>[Reproduced directly from PIDAC, 2018]</w:t>
      </w:r>
    </w:p>
    <w:p w14:paraId="1FECAE1F" w14:textId="77777777" w:rsidR="001740A7" w:rsidRDefault="001740A7" w:rsidP="001740A7">
      <w:pPr>
        <w:shd w:val="clear" w:color="auto" w:fill="B4C6E7" w:themeFill="accent1" w:themeFillTint="66"/>
        <w:rPr>
          <w:rFonts w:asciiTheme="minorHAnsi" w:eastAsiaTheme="minorHAnsi" w:hAnsiTheme="minorHAnsi"/>
          <w:b/>
          <w:sz w:val="26"/>
          <w:szCs w:val="26"/>
        </w:rPr>
      </w:pPr>
      <w:bookmarkStart w:id="1" w:name="_Toc19634823"/>
      <w:bookmarkStart w:id="2" w:name="_Toc23490133"/>
      <w:bookmarkStart w:id="3" w:name="_Toc17208534"/>
      <w:r>
        <w:rPr>
          <w:b/>
          <w:sz w:val="26"/>
          <w:szCs w:val="26"/>
        </w:rPr>
        <w:t xml:space="preserve">Step 1: Categorize the risk factors that determine the need for environmental cleaning: probability of contamination with pathogens </w:t>
      </w:r>
    </w:p>
    <w:bookmarkEnd w:id="1"/>
    <w:bookmarkEnd w:id="2"/>
    <w:bookmarkEnd w:id="3"/>
    <w:p w14:paraId="55E09CE6" w14:textId="77777777" w:rsidR="00A6168D" w:rsidRPr="001740A7" w:rsidRDefault="00A6168D" w:rsidP="00A6168D">
      <w:pPr>
        <w:pStyle w:val="xmsonormal"/>
        <w:widowControl w:val="0"/>
        <w:spacing w:before="0" w:beforeAutospacing="0" w:after="160" w:afterAutospacing="0" w:line="259" w:lineRule="auto"/>
        <w:rPr>
          <w:rFonts w:ascii="Arial" w:hAnsi="Arial" w:cs="Arial"/>
          <w:b/>
          <w:color w:val="212121"/>
          <w:sz w:val="22"/>
          <w:szCs w:val="22"/>
          <w:lang w:val="en-US"/>
        </w:rPr>
      </w:pPr>
      <w:r w:rsidRPr="001740A7">
        <w:rPr>
          <w:rFonts w:ascii="Arial" w:hAnsi="Arial" w:cs="Arial"/>
          <w:b/>
          <w:color w:val="212121"/>
          <w:sz w:val="22"/>
          <w:szCs w:val="22"/>
          <w:lang w:val="en-US"/>
        </w:rPr>
        <w:t xml:space="preserve">Heavy Contamination (score = 3) </w:t>
      </w:r>
    </w:p>
    <w:p w14:paraId="24F001E4" w14:textId="77777777" w:rsidR="00A6168D" w:rsidRPr="001740A7" w:rsidRDefault="00A6168D" w:rsidP="00A6168D">
      <w:pPr>
        <w:pStyle w:val="xmsonormal"/>
        <w:widowControl w:val="0"/>
        <w:spacing w:before="0" w:beforeAutospacing="0" w:after="160" w:afterAutospacing="0" w:line="259" w:lineRule="auto"/>
        <w:rPr>
          <w:rFonts w:ascii="Arial" w:hAnsi="Arial" w:cs="Arial"/>
          <w:color w:val="212121"/>
          <w:sz w:val="22"/>
          <w:szCs w:val="22"/>
          <w:lang w:val="en-US"/>
        </w:rPr>
      </w:pPr>
      <w:r w:rsidRPr="001740A7">
        <w:rPr>
          <w:rFonts w:ascii="Arial" w:hAnsi="Arial" w:cs="Arial"/>
          <w:color w:val="212121"/>
          <w:sz w:val="22"/>
          <w:szCs w:val="22"/>
          <w:lang w:val="en-US"/>
        </w:rPr>
        <w:t xml:space="preserve">An area is designated as being heavily contaminated if surfaces and equipment are routinely exposed to copious amounts of fresh blood or other body fluids (e.g., birthing suite, autopsy suite, cardiac catheterization laboratory, hemodialysis station, Emergency room, client/patient/resident bathroom if visibly soiled). </w:t>
      </w:r>
    </w:p>
    <w:p w14:paraId="2685559B" w14:textId="77777777" w:rsidR="00A6168D" w:rsidRPr="001740A7" w:rsidRDefault="00A6168D" w:rsidP="00A6168D">
      <w:pPr>
        <w:pStyle w:val="xmsonormal"/>
        <w:widowControl w:val="0"/>
        <w:spacing w:before="0" w:beforeAutospacing="0" w:after="160" w:afterAutospacing="0" w:line="259" w:lineRule="auto"/>
        <w:rPr>
          <w:rFonts w:ascii="Arial" w:hAnsi="Arial" w:cs="Arial"/>
          <w:b/>
          <w:color w:val="212121"/>
          <w:sz w:val="22"/>
          <w:szCs w:val="22"/>
          <w:lang w:val="en-US"/>
        </w:rPr>
      </w:pPr>
      <w:r w:rsidRPr="001740A7">
        <w:rPr>
          <w:rFonts w:ascii="Arial" w:hAnsi="Arial" w:cs="Arial"/>
          <w:b/>
          <w:color w:val="212121"/>
          <w:sz w:val="22"/>
          <w:szCs w:val="22"/>
          <w:lang w:val="en-US"/>
        </w:rPr>
        <w:t xml:space="preserve">Moderate Contamination (score = 2) </w:t>
      </w:r>
    </w:p>
    <w:p w14:paraId="6431E39D" w14:textId="77777777" w:rsidR="00A6168D" w:rsidRPr="001740A7" w:rsidRDefault="00A6168D" w:rsidP="00A6168D">
      <w:pPr>
        <w:pStyle w:val="xmsonormal"/>
        <w:widowControl w:val="0"/>
        <w:spacing w:before="0" w:beforeAutospacing="0" w:after="160" w:afterAutospacing="0" w:line="259" w:lineRule="auto"/>
        <w:rPr>
          <w:rFonts w:ascii="Arial" w:hAnsi="Arial" w:cs="Arial"/>
          <w:color w:val="212121"/>
          <w:sz w:val="22"/>
          <w:szCs w:val="22"/>
          <w:lang w:val="en-US"/>
        </w:rPr>
      </w:pPr>
      <w:r w:rsidRPr="001740A7">
        <w:rPr>
          <w:rFonts w:ascii="Arial" w:hAnsi="Arial" w:cs="Arial"/>
          <w:color w:val="212121"/>
          <w:sz w:val="22"/>
          <w:szCs w:val="22"/>
          <w:lang w:val="en-US"/>
        </w:rPr>
        <w:t xml:space="preserve">An area is designated as being moderately contaminated if surfaces and equipment do not routinely (but may) become contaminated with blood or other body fluids and the contaminated substances are contained or removed (e.g., wet sheets). All client/patient/resident rooms and bathrooms should be considered to be, at a minimum, moderately contaminated. </w:t>
      </w:r>
    </w:p>
    <w:p w14:paraId="68F5E2BD" w14:textId="77777777" w:rsidR="00A6168D" w:rsidRPr="001740A7" w:rsidRDefault="00A6168D" w:rsidP="00A6168D">
      <w:pPr>
        <w:pStyle w:val="xmsonormal"/>
        <w:widowControl w:val="0"/>
        <w:spacing w:before="0" w:beforeAutospacing="0" w:after="160" w:afterAutospacing="0" w:line="259" w:lineRule="auto"/>
        <w:rPr>
          <w:rFonts w:ascii="Arial" w:hAnsi="Arial" w:cs="Arial"/>
          <w:b/>
          <w:color w:val="212121"/>
          <w:sz w:val="22"/>
          <w:szCs w:val="22"/>
          <w:lang w:val="en-US"/>
        </w:rPr>
      </w:pPr>
      <w:r w:rsidRPr="001740A7">
        <w:rPr>
          <w:rFonts w:ascii="Arial" w:hAnsi="Arial" w:cs="Arial"/>
          <w:b/>
          <w:color w:val="212121"/>
          <w:sz w:val="22"/>
          <w:szCs w:val="22"/>
          <w:lang w:val="en-US"/>
        </w:rPr>
        <w:t xml:space="preserve">Light Contamination (score = 1) </w:t>
      </w:r>
    </w:p>
    <w:p w14:paraId="3C084B4C" w14:textId="77777777" w:rsidR="00A6168D" w:rsidRPr="001740A7" w:rsidRDefault="00A6168D" w:rsidP="00A6168D">
      <w:pPr>
        <w:pStyle w:val="xmsonormal"/>
        <w:widowControl w:val="0"/>
        <w:spacing w:before="0" w:beforeAutospacing="0" w:after="160" w:afterAutospacing="0" w:line="259" w:lineRule="auto"/>
        <w:rPr>
          <w:rFonts w:ascii="Arial" w:hAnsi="Arial" w:cs="Arial"/>
          <w:color w:val="212121"/>
          <w:sz w:val="22"/>
          <w:szCs w:val="22"/>
          <w:lang w:val="en-US"/>
        </w:rPr>
      </w:pPr>
      <w:r w:rsidRPr="001740A7">
        <w:rPr>
          <w:rFonts w:ascii="Arial" w:hAnsi="Arial" w:cs="Arial"/>
          <w:color w:val="212121"/>
          <w:sz w:val="22"/>
          <w:szCs w:val="22"/>
          <w:lang w:val="en-US"/>
        </w:rPr>
        <w:t xml:space="preserve">An area is designated as being lightly contaminated if surfaces are not exposed to blood, other body fluids or items that have come into contact with blood or body fluids (e.g., lounges, libraries, offices). </w:t>
      </w:r>
    </w:p>
    <w:p w14:paraId="253D65E6" w14:textId="77777777" w:rsidR="00A6168D" w:rsidRPr="001740A7" w:rsidRDefault="00A6168D" w:rsidP="00A6168D">
      <w:pPr>
        <w:pStyle w:val="Heading3"/>
        <w:spacing w:before="0" w:after="160"/>
        <w:rPr>
          <w:rFonts w:ascii="Arial" w:hAnsi="Arial" w:cs="Arial"/>
        </w:rPr>
      </w:pPr>
      <w:bookmarkStart w:id="4" w:name="_Toc17208536"/>
      <w:bookmarkStart w:id="5" w:name="_Toc19634825"/>
      <w:bookmarkStart w:id="6" w:name="_Toc23490135"/>
      <w:r w:rsidRPr="001740A7">
        <w:rPr>
          <w:rFonts w:ascii="Arial" w:hAnsi="Arial" w:cs="Arial"/>
        </w:rPr>
        <w:t>Vulnerability of Population to Infection</w:t>
      </w:r>
      <w:bookmarkEnd w:id="4"/>
      <w:bookmarkEnd w:id="5"/>
      <w:bookmarkEnd w:id="6"/>
      <w:r w:rsidRPr="001740A7">
        <w:rPr>
          <w:rFonts w:ascii="Arial" w:hAnsi="Arial" w:cs="Arial"/>
        </w:rPr>
        <w:t xml:space="preserve"> </w:t>
      </w:r>
    </w:p>
    <w:p w14:paraId="3F7AE060" w14:textId="77777777" w:rsidR="00A6168D" w:rsidRPr="001740A7" w:rsidRDefault="00A6168D" w:rsidP="00A6168D">
      <w:pPr>
        <w:pStyle w:val="xmsonormal"/>
        <w:widowControl w:val="0"/>
        <w:spacing w:before="0" w:beforeAutospacing="0" w:after="160" w:afterAutospacing="0" w:line="259" w:lineRule="auto"/>
        <w:rPr>
          <w:rFonts w:ascii="Arial" w:hAnsi="Arial" w:cs="Arial"/>
          <w:color w:val="212121"/>
          <w:sz w:val="22"/>
          <w:szCs w:val="22"/>
          <w:lang w:val="en-US"/>
        </w:rPr>
      </w:pPr>
      <w:r w:rsidRPr="001740A7">
        <w:rPr>
          <w:rFonts w:ascii="Arial" w:hAnsi="Arial" w:cs="Arial"/>
          <w:color w:val="212121"/>
          <w:sz w:val="22"/>
          <w:szCs w:val="22"/>
          <w:lang w:val="en-US"/>
        </w:rPr>
        <w:t xml:space="preserve">More Susceptible (score = 1) </w:t>
      </w:r>
    </w:p>
    <w:p w14:paraId="67FEA913" w14:textId="77777777" w:rsidR="00A6168D" w:rsidRPr="001740A7" w:rsidRDefault="00A6168D" w:rsidP="00A6168D">
      <w:pPr>
        <w:pStyle w:val="xmsonormal"/>
        <w:widowControl w:val="0"/>
        <w:spacing w:before="0" w:beforeAutospacing="0" w:after="160" w:afterAutospacing="0" w:line="259" w:lineRule="auto"/>
        <w:rPr>
          <w:rFonts w:ascii="Arial" w:hAnsi="Arial" w:cs="Arial"/>
          <w:color w:val="212121"/>
          <w:sz w:val="22"/>
          <w:szCs w:val="22"/>
          <w:lang w:val="en-US"/>
        </w:rPr>
      </w:pPr>
      <w:r w:rsidRPr="001740A7">
        <w:rPr>
          <w:rFonts w:ascii="Arial" w:hAnsi="Arial" w:cs="Arial"/>
          <w:color w:val="212121"/>
          <w:sz w:val="22"/>
          <w:szCs w:val="22"/>
          <w:lang w:val="en-US"/>
        </w:rPr>
        <w:t xml:space="preserve">Susceptible clients/patients/residents are most susceptible to infection because of their medical condition or lack of immunity. These include those who are immunocompromised (oncology, transplant and chemotherapy units), neonates (level 2 and 3 nurseries), and those who have severe burns (i.e., requiring care in a burn unit). </w:t>
      </w:r>
    </w:p>
    <w:p w14:paraId="2FA934D1" w14:textId="77777777" w:rsidR="00A6168D" w:rsidRPr="001740A7" w:rsidRDefault="00A6168D" w:rsidP="00A6168D">
      <w:pPr>
        <w:pStyle w:val="xmsonormal"/>
        <w:widowControl w:val="0"/>
        <w:spacing w:before="0" w:beforeAutospacing="0" w:after="160" w:afterAutospacing="0" w:line="259" w:lineRule="auto"/>
        <w:rPr>
          <w:rFonts w:ascii="Arial" w:hAnsi="Arial" w:cs="Arial"/>
          <w:color w:val="212121"/>
          <w:sz w:val="22"/>
          <w:szCs w:val="22"/>
          <w:lang w:val="en-US"/>
        </w:rPr>
      </w:pPr>
      <w:r w:rsidRPr="001740A7">
        <w:rPr>
          <w:rFonts w:ascii="Arial" w:hAnsi="Arial" w:cs="Arial"/>
          <w:color w:val="212121"/>
          <w:sz w:val="22"/>
          <w:szCs w:val="22"/>
          <w:lang w:val="en-US"/>
        </w:rPr>
        <w:t xml:space="preserve">Less Susceptible (score = 0) </w:t>
      </w:r>
    </w:p>
    <w:p w14:paraId="095BF385" w14:textId="77777777" w:rsidR="00A6168D" w:rsidRPr="001740A7" w:rsidRDefault="00A6168D" w:rsidP="00A6168D">
      <w:pPr>
        <w:pStyle w:val="xmsonormal"/>
        <w:widowControl w:val="0"/>
        <w:spacing w:before="0" w:beforeAutospacing="0" w:after="160" w:afterAutospacing="0" w:line="259" w:lineRule="auto"/>
        <w:rPr>
          <w:rFonts w:ascii="Arial" w:hAnsi="Arial" w:cs="Arial"/>
          <w:color w:val="212121"/>
          <w:sz w:val="22"/>
          <w:szCs w:val="22"/>
          <w:lang w:val="en-US"/>
        </w:rPr>
      </w:pPr>
      <w:r w:rsidRPr="001740A7">
        <w:rPr>
          <w:rFonts w:ascii="Arial" w:hAnsi="Arial" w:cs="Arial"/>
          <w:color w:val="212121"/>
          <w:sz w:val="22"/>
          <w:szCs w:val="22"/>
          <w:lang w:val="en-US"/>
        </w:rPr>
        <w:t>For the purpose of risk stratification for cleaning, all other individuals and areas are classified as less susceptible.</w:t>
      </w:r>
    </w:p>
    <w:p w14:paraId="2799F4A2" w14:textId="77777777" w:rsidR="00A6168D" w:rsidRPr="001740A7" w:rsidRDefault="00A6168D" w:rsidP="00A6168D">
      <w:pPr>
        <w:pStyle w:val="Heading3"/>
        <w:spacing w:before="0" w:after="160"/>
        <w:rPr>
          <w:rFonts w:ascii="Arial" w:hAnsi="Arial" w:cs="Arial"/>
        </w:rPr>
      </w:pPr>
      <w:bookmarkStart w:id="7" w:name="_Toc17208537"/>
      <w:bookmarkStart w:id="8" w:name="_Toc19634826"/>
      <w:bookmarkStart w:id="9" w:name="_Toc23490136"/>
      <w:r w:rsidRPr="001740A7">
        <w:rPr>
          <w:rFonts w:ascii="Arial" w:hAnsi="Arial" w:cs="Arial"/>
        </w:rPr>
        <w:t>Potential for Exposure</w:t>
      </w:r>
      <w:bookmarkEnd w:id="7"/>
      <w:bookmarkEnd w:id="8"/>
      <w:bookmarkEnd w:id="9"/>
      <w:r w:rsidRPr="001740A7">
        <w:rPr>
          <w:rFonts w:ascii="Arial" w:hAnsi="Arial" w:cs="Arial"/>
        </w:rPr>
        <w:t xml:space="preserve"> </w:t>
      </w:r>
    </w:p>
    <w:p w14:paraId="584AB0FC" w14:textId="77777777" w:rsidR="00A6168D" w:rsidRPr="001740A7" w:rsidRDefault="00A6168D" w:rsidP="00A6168D">
      <w:pPr>
        <w:pStyle w:val="xmsonormal"/>
        <w:widowControl w:val="0"/>
        <w:spacing w:before="0" w:beforeAutospacing="0" w:after="160" w:afterAutospacing="0" w:line="259" w:lineRule="auto"/>
        <w:rPr>
          <w:rFonts w:ascii="Arial" w:hAnsi="Arial" w:cs="Arial"/>
          <w:color w:val="212121"/>
          <w:sz w:val="22"/>
          <w:szCs w:val="22"/>
          <w:lang w:val="en-US"/>
        </w:rPr>
      </w:pPr>
      <w:r w:rsidRPr="001740A7">
        <w:rPr>
          <w:rFonts w:ascii="Arial" w:hAnsi="Arial" w:cs="Arial"/>
          <w:color w:val="212121"/>
          <w:sz w:val="22"/>
          <w:szCs w:val="22"/>
          <w:lang w:val="en-US"/>
        </w:rPr>
        <w:t>High-touch surfaces (score = 3)</w:t>
      </w:r>
      <w:r w:rsidRPr="001740A7">
        <w:rPr>
          <w:rFonts w:ascii="Arial" w:hAnsi="Arial" w:cs="Arial"/>
          <w:strike/>
          <w:color w:val="212121"/>
          <w:sz w:val="22"/>
          <w:szCs w:val="22"/>
          <w:lang w:val="en-US"/>
        </w:rPr>
        <w:t>:</w:t>
      </w:r>
      <w:r w:rsidRPr="001740A7">
        <w:rPr>
          <w:rFonts w:ascii="Arial" w:hAnsi="Arial" w:cs="Arial"/>
          <w:color w:val="212121"/>
          <w:sz w:val="22"/>
          <w:szCs w:val="22"/>
          <w:lang w:val="en-US"/>
        </w:rPr>
        <w:t xml:space="preserve"> </w:t>
      </w:r>
    </w:p>
    <w:p w14:paraId="44748DFC" w14:textId="77777777" w:rsidR="00A6168D" w:rsidRPr="001740A7" w:rsidRDefault="00A6168D" w:rsidP="00A6168D">
      <w:pPr>
        <w:pStyle w:val="xmsonormal"/>
        <w:widowControl w:val="0"/>
        <w:spacing w:before="0" w:beforeAutospacing="0" w:after="160" w:afterAutospacing="0" w:line="259" w:lineRule="auto"/>
        <w:rPr>
          <w:rFonts w:ascii="Arial" w:hAnsi="Arial" w:cs="Arial"/>
          <w:color w:val="212121"/>
          <w:sz w:val="22"/>
          <w:szCs w:val="22"/>
          <w:lang w:val="en-US"/>
        </w:rPr>
      </w:pPr>
      <w:r w:rsidRPr="001740A7">
        <w:rPr>
          <w:rFonts w:ascii="Arial" w:hAnsi="Arial" w:cs="Arial"/>
          <w:color w:val="212121"/>
          <w:sz w:val="22"/>
          <w:szCs w:val="22"/>
          <w:lang w:val="en-US"/>
        </w:rPr>
        <w:t xml:space="preserve">High-touch surfaces have frequent contact with hands. Examples include doorknobs, telephone, call bells, bedrails, light switches, wall areas around the toilet and edges of privacy curtains. </w:t>
      </w:r>
    </w:p>
    <w:p w14:paraId="4677DF9A" w14:textId="77777777" w:rsidR="00A6168D" w:rsidRPr="001740A7" w:rsidRDefault="00A6168D" w:rsidP="00A6168D">
      <w:pPr>
        <w:pStyle w:val="xmsonormal"/>
        <w:widowControl w:val="0"/>
        <w:spacing w:before="0" w:beforeAutospacing="0" w:after="160" w:afterAutospacing="0" w:line="259" w:lineRule="auto"/>
        <w:rPr>
          <w:rFonts w:ascii="Arial" w:hAnsi="Arial" w:cs="Arial"/>
          <w:color w:val="212121"/>
          <w:sz w:val="22"/>
          <w:szCs w:val="22"/>
          <w:lang w:val="en-US"/>
        </w:rPr>
      </w:pPr>
      <w:r w:rsidRPr="001740A7">
        <w:rPr>
          <w:rFonts w:ascii="Arial" w:hAnsi="Arial" w:cs="Arial"/>
          <w:color w:val="212121"/>
          <w:sz w:val="22"/>
          <w:szCs w:val="22"/>
          <w:lang w:val="en-US"/>
        </w:rPr>
        <w:t xml:space="preserve">Low-touch surfaces (score = 1): </w:t>
      </w:r>
    </w:p>
    <w:p w14:paraId="7FC9F5BA" w14:textId="77777777" w:rsidR="00A6168D" w:rsidRPr="001740A7" w:rsidRDefault="00A6168D" w:rsidP="00A6168D">
      <w:pPr>
        <w:pStyle w:val="xmsonormal"/>
        <w:widowControl w:val="0"/>
        <w:spacing w:before="0" w:beforeAutospacing="0" w:after="160" w:afterAutospacing="0" w:line="259" w:lineRule="auto"/>
        <w:rPr>
          <w:rFonts w:ascii="Arial" w:hAnsi="Arial" w:cs="Arial"/>
          <w:color w:val="212121"/>
          <w:sz w:val="22"/>
          <w:szCs w:val="22"/>
          <w:lang w:val="en-US"/>
        </w:rPr>
      </w:pPr>
      <w:r w:rsidRPr="001740A7">
        <w:rPr>
          <w:rFonts w:ascii="Arial" w:hAnsi="Arial" w:cs="Arial"/>
          <w:color w:val="212121"/>
          <w:sz w:val="22"/>
          <w:szCs w:val="22"/>
          <w:lang w:val="en-US"/>
        </w:rPr>
        <w:lastRenderedPageBreak/>
        <w:t xml:space="preserve">Low-touch surfaces have minimal contact with hands. Examples include walls, ceilings, mirrors. </w:t>
      </w:r>
    </w:p>
    <w:p w14:paraId="01E4D829" w14:textId="77777777" w:rsidR="001740A7" w:rsidRDefault="001740A7" w:rsidP="001740A7">
      <w:pPr>
        <w:shd w:val="clear" w:color="auto" w:fill="B4C6E7" w:themeFill="accent1" w:themeFillTint="66"/>
        <w:rPr>
          <w:rFonts w:asciiTheme="minorHAnsi" w:eastAsiaTheme="minorHAnsi" w:hAnsiTheme="minorHAnsi"/>
          <w:b/>
          <w:sz w:val="26"/>
          <w:szCs w:val="26"/>
        </w:rPr>
      </w:pPr>
      <w:bookmarkStart w:id="10" w:name="_Toc17208538"/>
      <w:bookmarkStart w:id="11" w:name="_Toc19634827"/>
      <w:bookmarkStart w:id="12" w:name="_Toc23490137"/>
      <w:r>
        <w:rPr>
          <w:b/>
          <w:sz w:val="26"/>
          <w:szCs w:val="26"/>
        </w:rPr>
        <w:t xml:space="preserve">Step 2: Determine the total risk stratification score </w:t>
      </w:r>
    </w:p>
    <w:bookmarkEnd w:id="10"/>
    <w:bookmarkEnd w:id="11"/>
    <w:bookmarkEnd w:id="12"/>
    <w:p w14:paraId="43454C79" w14:textId="77777777" w:rsidR="00A6168D" w:rsidRPr="001740A7" w:rsidRDefault="00A6168D" w:rsidP="00A6168D">
      <w:pPr>
        <w:pStyle w:val="xmsonormal"/>
        <w:widowControl w:val="0"/>
        <w:spacing w:before="240" w:beforeAutospacing="0" w:after="240" w:afterAutospacing="0"/>
        <w:rPr>
          <w:rFonts w:ascii="Arial" w:hAnsi="Arial" w:cs="Arial"/>
          <w:color w:val="212121"/>
          <w:sz w:val="22"/>
          <w:szCs w:val="22"/>
          <w:lang w:val="en-US"/>
        </w:rPr>
      </w:pPr>
      <w:r w:rsidRPr="001740A7">
        <w:rPr>
          <w:rFonts w:ascii="Arial" w:hAnsi="Arial" w:cs="Arial"/>
          <w:color w:val="212121"/>
          <w:sz w:val="22"/>
          <w:szCs w:val="22"/>
          <w:lang w:val="en-US"/>
        </w:rPr>
        <w:t>The frequency of cleaning is based on the factors listed above. A score is given if the factors are present, and the frequency of cleaning is based on the total score as derived in the following matrix:</w:t>
      </w:r>
    </w:p>
    <w:p w14:paraId="5493A4E9" w14:textId="77777777" w:rsidR="00A6168D" w:rsidRPr="001740A7" w:rsidRDefault="00A6168D" w:rsidP="00A6168D">
      <w:pPr>
        <w:pStyle w:val="xmsonormal"/>
        <w:widowControl w:val="0"/>
        <w:spacing w:before="0" w:beforeAutospacing="0" w:after="0" w:afterAutospacing="0"/>
        <w:rPr>
          <w:rFonts w:ascii="Arial" w:hAnsi="Arial" w:cs="Arial"/>
          <w:b/>
          <w:color w:val="212121"/>
          <w:sz w:val="22"/>
          <w:szCs w:val="22"/>
          <w:lang w:val="en-US"/>
        </w:rPr>
      </w:pPr>
      <w:r w:rsidRPr="001740A7">
        <w:rPr>
          <w:rFonts w:ascii="Arial" w:hAnsi="Arial" w:cs="Arial"/>
          <w:b/>
          <w:bCs/>
          <w:sz w:val="22"/>
          <w:szCs w:val="22"/>
        </w:rPr>
        <w:t xml:space="preserve">Risk Stratification Scores for </w:t>
      </w:r>
      <w:r w:rsidRPr="001740A7">
        <w:rPr>
          <w:rFonts w:ascii="Arial" w:hAnsi="Arial" w:cs="Arial"/>
          <w:b/>
          <w:bCs/>
          <w:i/>
          <w:sz w:val="22"/>
          <w:szCs w:val="22"/>
        </w:rPr>
        <w:t>High-Touch Surfaces</w:t>
      </w:r>
      <w:r w:rsidRPr="001740A7">
        <w:rPr>
          <w:rFonts w:ascii="Arial" w:hAnsi="Arial" w:cs="Arial"/>
          <w:b/>
          <w:bCs/>
          <w:sz w:val="22"/>
          <w:szCs w:val="22"/>
        </w:rPr>
        <w:t xml:space="preserve"> (Score for Potential for Exposure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3357"/>
        <w:gridCol w:w="3357"/>
      </w:tblGrid>
      <w:tr w:rsidR="00A6168D" w:rsidRPr="001740A7" w14:paraId="0ADDB812" w14:textId="77777777" w:rsidTr="00CD680A">
        <w:tc>
          <w:tcPr>
            <w:tcW w:w="3356" w:type="dxa"/>
            <w:shd w:val="clear" w:color="auto" w:fill="DEEAF6"/>
          </w:tcPr>
          <w:p w14:paraId="3F2A5F27" w14:textId="77777777" w:rsidR="00A6168D" w:rsidRPr="001740A7" w:rsidRDefault="00A6168D" w:rsidP="00CD680A">
            <w:pPr>
              <w:pStyle w:val="xmsonormal"/>
              <w:widowControl w:val="0"/>
              <w:spacing w:before="0" w:beforeAutospacing="0" w:after="0" w:afterAutospacing="0"/>
              <w:contextualSpacing/>
              <w:rPr>
                <w:rFonts w:ascii="Arial" w:hAnsi="Arial" w:cs="Arial"/>
                <w:b/>
                <w:color w:val="000000"/>
                <w:sz w:val="22"/>
                <w:szCs w:val="22"/>
                <w:lang w:val="en-US"/>
              </w:rPr>
            </w:pPr>
            <w:r w:rsidRPr="001740A7">
              <w:rPr>
                <w:rFonts w:ascii="Arial" w:hAnsi="Arial" w:cs="Arial"/>
                <w:b/>
                <w:bCs/>
                <w:color w:val="000000"/>
                <w:sz w:val="22"/>
                <w:szCs w:val="22"/>
              </w:rPr>
              <w:t xml:space="preserve">Probability of contamination with pathogens </w:t>
            </w:r>
          </w:p>
        </w:tc>
        <w:tc>
          <w:tcPr>
            <w:tcW w:w="3357" w:type="dxa"/>
            <w:shd w:val="clear" w:color="auto" w:fill="DEEAF6"/>
          </w:tcPr>
          <w:p w14:paraId="57913335" w14:textId="77777777" w:rsidR="00A6168D" w:rsidRPr="001740A7" w:rsidRDefault="00A6168D" w:rsidP="00CD680A">
            <w:pPr>
              <w:pStyle w:val="xmsonormal"/>
              <w:widowControl w:val="0"/>
              <w:spacing w:before="0" w:beforeAutospacing="0" w:after="0" w:afterAutospacing="0"/>
              <w:contextualSpacing/>
              <w:rPr>
                <w:rFonts w:ascii="Arial" w:hAnsi="Arial" w:cs="Arial"/>
                <w:b/>
                <w:color w:val="000000"/>
                <w:sz w:val="22"/>
                <w:szCs w:val="22"/>
                <w:lang w:val="en-US"/>
              </w:rPr>
            </w:pPr>
            <w:r w:rsidRPr="001740A7">
              <w:rPr>
                <w:rFonts w:ascii="Arial" w:hAnsi="Arial" w:cs="Arial"/>
                <w:b/>
                <w:bCs/>
                <w:color w:val="000000"/>
                <w:sz w:val="22"/>
                <w:szCs w:val="22"/>
              </w:rPr>
              <w:t xml:space="preserve">More susceptible population (score = 1) </w:t>
            </w:r>
          </w:p>
        </w:tc>
        <w:tc>
          <w:tcPr>
            <w:tcW w:w="3357" w:type="dxa"/>
            <w:shd w:val="clear" w:color="auto" w:fill="DEEAF6"/>
          </w:tcPr>
          <w:p w14:paraId="78666280" w14:textId="77777777" w:rsidR="00A6168D" w:rsidRPr="001740A7" w:rsidRDefault="00A6168D" w:rsidP="00CD680A">
            <w:pPr>
              <w:pStyle w:val="xmsonormal"/>
              <w:widowControl w:val="0"/>
              <w:spacing w:before="0" w:beforeAutospacing="0" w:after="0" w:afterAutospacing="0"/>
              <w:contextualSpacing/>
              <w:rPr>
                <w:rFonts w:ascii="Arial" w:hAnsi="Arial" w:cs="Arial"/>
                <w:b/>
                <w:color w:val="000000"/>
                <w:sz w:val="22"/>
                <w:szCs w:val="22"/>
                <w:lang w:val="en-US"/>
              </w:rPr>
            </w:pPr>
            <w:r w:rsidRPr="001740A7">
              <w:rPr>
                <w:rFonts w:ascii="Arial" w:hAnsi="Arial" w:cs="Arial"/>
                <w:b/>
                <w:bCs/>
                <w:color w:val="000000"/>
                <w:sz w:val="22"/>
                <w:szCs w:val="22"/>
              </w:rPr>
              <w:t xml:space="preserve">Less susceptible population </w:t>
            </w:r>
            <w:r w:rsidRPr="001740A7">
              <w:rPr>
                <w:rFonts w:ascii="Arial" w:hAnsi="Arial" w:cs="Arial"/>
                <w:b/>
                <w:bCs/>
                <w:color w:val="000000"/>
                <w:sz w:val="22"/>
                <w:szCs w:val="22"/>
              </w:rPr>
              <w:br/>
              <w:t xml:space="preserve">(score = 0) </w:t>
            </w:r>
          </w:p>
        </w:tc>
      </w:tr>
      <w:tr w:rsidR="00A6168D" w:rsidRPr="001740A7" w14:paraId="4F7721F0" w14:textId="77777777" w:rsidTr="00CD680A">
        <w:tc>
          <w:tcPr>
            <w:tcW w:w="3356" w:type="dxa"/>
            <w:tcMar>
              <w:top w:w="43" w:type="dxa"/>
              <w:left w:w="115" w:type="dxa"/>
              <w:bottom w:w="43" w:type="dxa"/>
              <w:right w:w="115" w:type="dxa"/>
            </w:tcMar>
          </w:tcPr>
          <w:p w14:paraId="76EB4FD8"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bCs/>
                <w:sz w:val="22"/>
                <w:szCs w:val="22"/>
              </w:rPr>
              <w:t xml:space="preserve">Heavy (score = 3) </w:t>
            </w:r>
          </w:p>
        </w:tc>
        <w:tc>
          <w:tcPr>
            <w:tcW w:w="3357" w:type="dxa"/>
            <w:tcMar>
              <w:top w:w="43" w:type="dxa"/>
              <w:left w:w="115" w:type="dxa"/>
              <w:bottom w:w="43" w:type="dxa"/>
              <w:right w:w="115" w:type="dxa"/>
            </w:tcMar>
          </w:tcPr>
          <w:p w14:paraId="3C631259" w14:textId="77777777" w:rsidR="00A6168D" w:rsidRPr="001740A7" w:rsidRDefault="00A6168D" w:rsidP="00CD680A">
            <w:pPr>
              <w:pStyle w:val="xmsonormal"/>
              <w:widowControl w:val="0"/>
              <w:spacing w:before="0" w:beforeAutospacing="0" w:after="0" w:afterAutospacing="0"/>
              <w:contextualSpacing/>
              <w:jc w:val="center"/>
              <w:rPr>
                <w:rFonts w:ascii="Arial" w:hAnsi="Arial" w:cs="Arial"/>
                <w:color w:val="212121"/>
                <w:sz w:val="22"/>
                <w:szCs w:val="22"/>
                <w:lang w:val="en-US"/>
              </w:rPr>
            </w:pPr>
            <w:r w:rsidRPr="001740A7">
              <w:rPr>
                <w:rFonts w:ascii="Arial" w:hAnsi="Arial" w:cs="Arial"/>
                <w:sz w:val="22"/>
                <w:szCs w:val="22"/>
              </w:rPr>
              <w:t>7 (3+3+1)</w:t>
            </w:r>
          </w:p>
        </w:tc>
        <w:tc>
          <w:tcPr>
            <w:tcW w:w="3357" w:type="dxa"/>
            <w:tcMar>
              <w:top w:w="43" w:type="dxa"/>
              <w:left w:w="115" w:type="dxa"/>
              <w:bottom w:w="43" w:type="dxa"/>
              <w:right w:w="115" w:type="dxa"/>
            </w:tcMar>
          </w:tcPr>
          <w:p w14:paraId="3FC3A3FE" w14:textId="77777777" w:rsidR="00A6168D" w:rsidRPr="001740A7" w:rsidRDefault="00A6168D" w:rsidP="00CD680A">
            <w:pPr>
              <w:pStyle w:val="xmsonormal"/>
              <w:widowControl w:val="0"/>
              <w:spacing w:before="0" w:beforeAutospacing="0" w:after="0" w:afterAutospacing="0"/>
              <w:contextualSpacing/>
              <w:jc w:val="center"/>
              <w:rPr>
                <w:rFonts w:ascii="Arial" w:hAnsi="Arial" w:cs="Arial"/>
                <w:color w:val="212121"/>
                <w:sz w:val="22"/>
                <w:szCs w:val="22"/>
                <w:lang w:val="en-US"/>
              </w:rPr>
            </w:pPr>
            <w:r w:rsidRPr="001740A7">
              <w:rPr>
                <w:rFonts w:ascii="Arial" w:hAnsi="Arial" w:cs="Arial"/>
                <w:sz w:val="22"/>
                <w:szCs w:val="22"/>
              </w:rPr>
              <w:t>6 (3+3+0)</w:t>
            </w:r>
          </w:p>
        </w:tc>
      </w:tr>
      <w:tr w:rsidR="00A6168D" w:rsidRPr="001740A7" w14:paraId="21F2436F" w14:textId="77777777" w:rsidTr="00CD680A">
        <w:tc>
          <w:tcPr>
            <w:tcW w:w="3356" w:type="dxa"/>
            <w:tcMar>
              <w:top w:w="43" w:type="dxa"/>
              <w:left w:w="115" w:type="dxa"/>
              <w:bottom w:w="43" w:type="dxa"/>
              <w:right w:w="115" w:type="dxa"/>
            </w:tcMar>
          </w:tcPr>
          <w:p w14:paraId="285DC5C9"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bCs/>
                <w:sz w:val="22"/>
                <w:szCs w:val="22"/>
              </w:rPr>
              <w:t xml:space="preserve">Moderate (score = 2) </w:t>
            </w:r>
          </w:p>
        </w:tc>
        <w:tc>
          <w:tcPr>
            <w:tcW w:w="3357" w:type="dxa"/>
            <w:tcMar>
              <w:top w:w="43" w:type="dxa"/>
              <w:left w:w="115" w:type="dxa"/>
              <w:bottom w:w="43" w:type="dxa"/>
              <w:right w:w="115" w:type="dxa"/>
            </w:tcMar>
          </w:tcPr>
          <w:p w14:paraId="30798271" w14:textId="77777777" w:rsidR="00A6168D" w:rsidRPr="001740A7" w:rsidRDefault="00A6168D" w:rsidP="00CD680A">
            <w:pPr>
              <w:pStyle w:val="xmsonormal"/>
              <w:widowControl w:val="0"/>
              <w:spacing w:before="0" w:beforeAutospacing="0" w:after="0" w:afterAutospacing="0"/>
              <w:contextualSpacing/>
              <w:jc w:val="center"/>
              <w:rPr>
                <w:rFonts w:ascii="Arial" w:hAnsi="Arial" w:cs="Arial"/>
                <w:color w:val="212121"/>
                <w:sz w:val="22"/>
                <w:szCs w:val="22"/>
                <w:lang w:val="en-US"/>
              </w:rPr>
            </w:pPr>
            <w:r w:rsidRPr="001740A7">
              <w:rPr>
                <w:rFonts w:ascii="Arial" w:hAnsi="Arial" w:cs="Arial"/>
                <w:sz w:val="22"/>
                <w:szCs w:val="22"/>
              </w:rPr>
              <w:t>6 (3+2+1)</w:t>
            </w:r>
          </w:p>
        </w:tc>
        <w:tc>
          <w:tcPr>
            <w:tcW w:w="3357" w:type="dxa"/>
            <w:tcMar>
              <w:top w:w="43" w:type="dxa"/>
              <w:left w:w="115" w:type="dxa"/>
              <w:bottom w:w="43" w:type="dxa"/>
              <w:right w:w="115" w:type="dxa"/>
            </w:tcMar>
          </w:tcPr>
          <w:p w14:paraId="408DFB66" w14:textId="77777777" w:rsidR="00A6168D" w:rsidRPr="001740A7" w:rsidRDefault="00A6168D" w:rsidP="00CD680A">
            <w:pPr>
              <w:pStyle w:val="xmsonormal"/>
              <w:widowControl w:val="0"/>
              <w:spacing w:before="0" w:beforeAutospacing="0" w:after="0" w:afterAutospacing="0"/>
              <w:contextualSpacing/>
              <w:jc w:val="center"/>
              <w:rPr>
                <w:rFonts w:ascii="Arial" w:hAnsi="Arial" w:cs="Arial"/>
                <w:color w:val="212121"/>
                <w:sz w:val="22"/>
                <w:szCs w:val="22"/>
                <w:lang w:val="en-US"/>
              </w:rPr>
            </w:pPr>
            <w:r w:rsidRPr="001740A7">
              <w:rPr>
                <w:rFonts w:ascii="Arial" w:hAnsi="Arial" w:cs="Arial"/>
                <w:sz w:val="22"/>
                <w:szCs w:val="22"/>
              </w:rPr>
              <w:t>5 (3+2+0)</w:t>
            </w:r>
          </w:p>
        </w:tc>
      </w:tr>
      <w:tr w:rsidR="00A6168D" w:rsidRPr="001740A7" w14:paraId="7DF9EF6F" w14:textId="77777777" w:rsidTr="00CD680A">
        <w:tc>
          <w:tcPr>
            <w:tcW w:w="3356" w:type="dxa"/>
            <w:tcMar>
              <w:top w:w="43" w:type="dxa"/>
              <w:left w:w="115" w:type="dxa"/>
              <w:bottom w:w="43" w:type="dxa"/>
              <w:right w:w="115" w:type="dxa"/>
            </w:tcMar>
          </w:tcPr>
          <w:p w14:paraId="6611C8D2"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bCs/>
                <w:sz w:val="22"/>
                <w:szCs w:val="22"/>
              </w:rPr>
              <w:t xml:space="preserve">Light (score = 1) </w:t>
            </w:r>
          </w:p>
        </w:tc>
        <w:tc>
          <w:tcPr>
            <w:tcW w:w="3357" w:type="dxa"/>
            <w:tcMar>
              <w:top w:w="43" w:type="dxa"/>
              <w:left w:w="115" w:type="dxa"/>
              <w:bottom w:w="43" w:type="dxa"/>
              <w:right w:w="115" w:type="dxa"/>
            </w:tcMar>
          </w:tcPr>
          <w:p w14:paraId="535215C7" w14:textId="77777777" w:rsidR="00A6168D" w:rsidRPr="001740A7" w:rsidRDefault="00A6168D" w:rsidP="00CD680A">
            <w:pPr>
              <w:pStyle w:val="xmsonormal"/>
              <w:widowControl w:val="0"/>
              <w:spacing w:before="0" w:beforeAutospacing="0" w:after="0" w:afterAutospacing="0"/>
              <w:contextualSpacing/>
              <w:jc w:val="center"/>
              <w:rPr>
                <w:rFonts w:ascii="Arial" w:hAnsi="Arial" w:cs="Arial"/>
                <w:color w:val="212121"/>
                <w:sz w:val="22"/>
                <w:szCs w:val="22"/>
                <w:lang w:val="en-US"/>
              </w:rPr>
            </w:pPr>
            <w:r w:rsidRPr="001740A7">
              <w:rPr>
                <w:rFonts w:ascii="Arial" w:hAnsi="Arial" w:cs="Arial"/>
                <w:sz w:val="22"/>
                <w:szCs w:val="22"/>
              </w:rPr>
              <w:t>5 (3+1+1)</w:t>
            </w:r>
          </w:p>
        </w:tc>
        <w:tc>
          <w:tcPr>
            <w:tcW w:w="3357" w:type="dxa"/>
            <w:tcMar>
              <w:top w:w="43" w:type="dxa"/>
              <w:left w:w="115" w:type="dxa"/>
              <w:bottom w:w="43" w:type="dxa"/>
              <w:right w:w="115" w:type="dxa"/>
            </w:tcMar>
          </w:tcPr>
          <w:p w14:paraId="0F1A45F1" w14:textId="77777777" w:rsidR="00A6168D" w:rsidRPr="001740A7" w:rsidRDefault="00A6168D" w:rsidP="00CD680A">
            <w:pPr>
              <w:pStyle w:val="xmsonormal"/>
              <w:widowControl w:val="0"/>
              <w:spacing w:before="0" w:beforeAutospacing="0" w:after="0" w:afterAutospacing="0"/>
              <w:contextualSpacing/>
              <w:jc w:val="center"/>
              <w:rPr>
                <w:rFonts w:ascii="Arial" w:hAnsi="Arial" w:cs="Arial"/>
                <w:color w:val="212121"/>
                <w:sz w:val="22"/>
                <w:szCs w:val="22"/>
                <w:lang w:val="en-US"/>
              </w:rPr>
            </w:pPr>
            <w:r w:rsidRPr="001740A7">
              <w:rPr>
                <w:rFonts w:ascii="Arial" w:hAnsi="Arial" w:cs="Arial"/>
                <w:sz w:val="22"/>
                <w:szCs w:val="22"/>
              </w:rPr>
              <w:t>4 (3+1+0)</w:t>
            </w:r>
          </w:p>
        </w:tc>
      </w:tr>
    </w:tbl>
    <w:p w14:paraId="78638110" w14:textId="77777777" w:rsidR="00A6168D" w:rsidRPr="001740A7" w:rsidRDefault="00A6168D" w:rsidP="00A6168D">
      <w:pPr>
        <w:pStyle w:val="xmsonormal"/>
        <w:widowControl w:val="0"/>
        <w:spacing w:before="0" w:beforeAutospacing="0" w:after="0" w:afterAutospacing="0"/>
        <w:rPr>
          <w:rFonts w:ascii="Arial" w:hAnsi="Arial" w:cs="Arial"/>
          <w:color w:val="212121"/>
          <w:sz w:val="22"/>
          <w:szCs w:val="22"/>
          <w:lang w:val="en-US"/>
        </w:rPr>
      </w:pPr>
    </w:p>
    <w:p w14:paraId="1C5B39E0" w14:textId="77777777" w:rsidR="00A6168D" w:rsidRPr="001740A7" w:rsidRDefault="00A6168D" w:rsidP="00A6168D">
      <w:pPr>
        <w:pStyle w:val="xmsonormal"/>
        <w:widowControl w:val="0"/>
        <w:spacing w:before="0" w:beforeAutospacing="0" w:after="0" w:afterAutospacing="0"/>
        <w:rPr>
          <w:rFonts w:ascii="Arial" w:hAnsi="Arial" w:cs="Arial"/>
          <w:b/>
          <w:color w:val="212121"/>
          <w:sz w:val="22"/>
          <w:szCs w:val="22"/>
          <w:lang w:val="en-US"/>
        </w:rPr>
      </w:pPr>
      <w:r w:rsidRPr="001740A7">
        <w:rPr>
          <w:rFonts w:ascii="Arial" w:hAnsi="Arial" w:cs="Arial"/>
          <w:b/>
          <w:bCs/>
          <w:sz w:val="22"/>
          <w:szCs w:val="22"/>
        </w:rPr>
        <w:t xml:space="preserve">Risk Stratification Scores for </w:t>
      </w:r>
      <w:r w:rsidRPr="001740A7">
        <w:rPr>
          <w:rFonts w:ascii="Arial" w:hAnsi="Arial" w:cs="Arial"/>
          <w:b/>
          <w:bCs/>
          <w:i/>
          <w:sz w:val="22"/>
          <w:szCs w:val="22"/>
        </w:rPr>
        <w:t>Low-Touch Surfaces</w:t>
      </w:r>
      <w:r w:rsidRPr="001740A7">
        <w:rPr>
          <w:rFonts w:ascii="Arial" w:hAnsi="Arial" w:cs="Arial"/>
          <w:b/>
          <w:bCs/>
          <w:sz w:val="22"/>
          <w:szCs w:val="22"/>
        </w:rPr>
        <w:t xml:space="preserve"> (Score for Potential for Exposure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3357"/>
        <w:gridCol w:w="3357"/>
      </w:tblGrid>
      <w:tr w:rsidR="00A6168D" w:rsidRPr="001740A7" w14:paraId="1BF24E27" w14:textId="77777777" w:rsidTr="00CD680A">
        <w:trPr>
          <w:cantSplit/>
          <w:tblHeader/>
        </w:trPr>
        <w:tc>
          <w:tcPr>
            <w:tcW w:w="2838" w:type="dxa"/>
            <w:shd w:val="clear" w:color="auto" w:fill="DEEAF6"/>
          </w:tcPr>
          <w:p w14:paraId="72C811FA" w14:textId="77777777" w:rsidR="00A6168D" w:rsidRPr="001740A7" w:rsidRDefault="00A6168D" w:rsidP="00CD680A">
            <w:pPr>
              <w:pStyle w:val="xmsonormal"/>
              <w:widowControl w:val="0"/>
              <w:spacing w:before="0" w:beforeAutospacing="0" w:after="0" w:afterAutospacing="0"/>
              <w:contextualSpacing/>
              <w:rPr>
                <w:rFonts w:ascii="Arial" w:hAnsi="Arial" w:cs="Arial"/>
                <w:b/>
                <w:sz w:val="22"/>
                <w:szCs w:val="22"/>
                <w:lang w:val="en-US"/>
              </w:rPr>
            </w:pPr>
            <w:r w:rsidRPr="001740A7">
              <w:rPr>
                <w:rFonts w:ascii="Arial" w:hAnsi="Arial" w:cs="Arial"/>
                <w:b/>
                <w:bCs/>
                <w:sz w:val="22"/>
                <w:szCs w:val="22"/>
              </w:rPr>
              <w:t xml:space="preserve">Probability of contamination with pathogens </w:t>
            </w:r>
          </w:p>
        </w:tc>
        <w:tc>
          <w:tcPr>
            <w:tcW w:w="2839" w:type="dxa"/>
            <w:shd w:val="clear" w:color="auto" w:fill="DEEAF6"/>
          </w:tcPr>
          <w:p w14:paraId="0066883A" w14:textId="77777777" w:rsidR="00A6168D" w:rsidRPr="001740A7" w:rsidRDefault="00A6168D" w:rsidP="00CD680A">
            <w:pPr>
              <w:pStyle w:val="xmsonormal"/>
              <w:widowControl w:val="0"/>
              <w:spacing w:before="0" w:beforeAutospacing="0" w:after="0" w:afterAutospacing="0"/>
              <w:contextualSpacing/>
              <w:rPr>
                <w:rFonts w:ascii="Arial" w:hAnsi="Arial" w:cs="Arial"/>
                <w:b/>
                <w:sz w:val="22"/>
                <w:szCs w:val="22"/>
                <w:lang w:val="en-US"/>
              </w:rPr>
            </w:pPr>
            <w:r w:rsidRPr="001740A7">
              <w:rPr>
                <w:rFonts w:ascii="Arial" w:hAnsi="Arial" w:cs="Arial"/>
                <w:b/>
                <w:bCs/>
                <w:sz w:val="22"/>
                <w:szCs w:val="22"/>
              </w:rPr>
              <w:t xml:space="preserve">More susceptible population (score = 1) </w:t>
            </w:r>
          </w:p>
        </w:tc>
        <w:tc>
          <w:tcPr>
            <w:tcW w:w="2839" w:type="dxa"/>
            <w:shd w:val="clear" w:color="auto" w:fill="DEEAF6"/>
          </w:tcPr>
          <w:p w14:paraId="7884DBD4" w14:textId="77777777" w:rsidR="00A6168D" w:rsidRPr="001740A7" w:rsidRDefault="00A6168D" w:rsidP="00CD680A">
            <w:pPr>
              <w:pStyle w:val="xmsonormal"/>
              <w:widowControl w:val="0"/>
              <w:spacing w:before="0" w:beforeAutospacing="0" w:after="0" w:afterAutospacing="0"/>
              <w:contextualSpacing/>
              <w:rPr>
                <w:rFonts w:ascii="Arial" w:hAnsi="Arial" w:cs="Arial"/>
                <w:b/>
                <w:sz w:val="22"/>
                <w:szCs w:val="22"/>
                <w:lang w:val="en-US"/>
              </w:rPr>
            </w:pPr>
            <w:r w:rsidRPr="001740A7">
              <w:rPr>
                <w:rFonts w:ascii="Arial" w:hAnsi="Arial" w:cs="Arial"/>
                <w:b/>
                <w:bCs/>
                <w:sz w:val="22"/>
                <w:szCs w:val="22"/>
              </w:rPr>
              <w:t xml:space="preserve">Less susceptible population </w:t>
            </w:r>
            <w:r w:rsidRPr="001740A7">
              <w:rPr>
                <w:rFonts w:ascii="Arial" w:hAnsi="Arial" w:cs="Arial"/>
                <w:b/>
                <w:bCs/>
                <w:sz w:val="22"/>
                <w:szCs w:val="22"/>
              </w:rPr>
              <w:br/>
              <w:t xml:space="preserve">(score = 0) </w:t>
            </w:r>
          </w:p>
        </w:tc>
      </w:tr>
      <w:tr w:rsidR="00A6168D" w:rsidRPr="001740A7" w14:paraId="34659A76" w14:textId="77777777" w:rsidTr="00CD680A">
        <w:trPr>
          <w:cantSplit/>
        </w:trPr>
        <w:tc>
          <w:tcPr>
            <w:tcW w:w="2838" w:type="dxa"/>
            <w:tcMar>
              <w:top w:w="43" w:type="dxa"/>
              <w:left w:w="115" w:type="dxa"/>
              <w:bottom w:w="43" w:type="dxa"/>
              <w:right w:w="115" w:type="dxa"/>
            </w:tcMar>
          </w:tcPr>
          <w:p w14:paraId="39ACF2E1"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bCs/>
                <w:sz w:val="22"/>
                <w:szCs w:val="22"/>
              </w:rPr>
              <w:t xml:space="preserve">Heavy (score = 3) </w:t>
            </w:r>
          </w:p>
        </w:tc>
        <w:tc>
          <w:tcPr>
            <w:tcW w:w="2839" w:type="dxa"/>
            <w:tcMar>
              <w:top w:w="43" w:type="dxa"/>
              <w:left w:w="115" w:type="dxa"/>
              <w:bottom w:w="43" w:type="dxa"/>
              <w:right w:w="115" w:type="dxa"/>
            </w:tcMar>
          </w:tcPr>
          <w:p w14:paraId="3AEE6ADE" w14:textId="77777777" w:rsidR="00A6168D" w:rsidRPr="001740A7" w:rsidRDefault="00A6168D" w:rsidP="00CD680A">
            <w:pPr>
              <w:pStyle w:val="xmsonormal"/>
              <w:widowControl w:val="0"/>
              <w:spacing w:before="0" w:beforeAutospacing="0" w:after="0" w:afterAutospacing="0"/>
              <w:contextualSpacing/>
              <w:jc w:val="center"/>
              <w:rPr>
                <w:rFonts w:ascii="Arial" w:hAnsi="Arial" w:cs="Arial"/>
                <w:color w:val="212121"/>
                <w:sz w:val="22"/>
                <w:szCs w:val="22"/>
                <w:lang w:val="en-US"/>
              </w:rPr>
            </w:pPr>
            <w:r w:rsidRPr="001740A7">
              <w:rPr>
                <w:rFonts w:ascii="Arial" w:hAnsi="Arial" w:cs="Arial"/>
                <w:sz w:val="22"/>
                <w:szCs w:val="22"/>
              </w:rPr>
              <w:t>5 (1+3+1)</w:t>
            </w:r>
          </w:p>
        </w:tc>
        <w:tc>
          <w:tcPr>
            <w:tcW w:w="2839" w:type="dxa"/>
            <w:tcMar>
              <w:top w:w="43" w:type="dxa"/>
              <w:left w:w="115" w:type="dxa"/>
              <w:bottom w:w="43" w:type="dxa"/>
              <w:right w:w="115" w:type="dxa"/>
            </w:tcMar>
          </w:tcPr>
          <w:p w14:paraId="6786AB46" w14:textId="77777777" w:rsidR="00A6168D" w:rsidRPr="001740A7" w:rsidRDefault="00A6168D" w:rsidP="00CD680A">
            <w:pPr>
              <w:pStyle w:val="xmsonormal"/>
              <w:widowControl w:val="0"/>
              <w:spacing w:before="0" w:beforeAutospacing="0" w:after="0" w:afterAutospacing="0"/>
              <w:contextualSpacing/>
              <w:jc w:val="center"/>
              <w:rPr>
                <w:rFonts w:ascii="Arial" w:hAnsi="Arial" w:cs="Arial"/>
                <w:color w:val="212121"/>
                <w:sz w:val="22"/>
                <w:szCs w:val="22"/>
                <w:lang w:val="en-US"/>
              </w:rPr>
            </w:pPr>
            <w:r w:rsidRPr="001740A7">
              <w:rPr>
                <w:rFonts w:ascii="Arial" w:hAnsi="Arial" w:cs="Arial"/>
                <w:sz w:val="22"/>
                <w:szCs w:val="22"/>
              </w:rPr>
              <w:t>4 (1+3+0)</w:t>
            </w:r>
          </w:p>
        </w:tc>
      </w:tr>
      <w:tr w:rsidR="00A6168D" w:rsidRPr="001740A7" w14:paraId="1E55F742" w14:textId="77777777" w:rsidTr="00CD680A">
        <w:trPr>
          <w:cantSplit/>
        </w:trPr>
        <w:tc>
          <w:tcPr>
            <w:tcW w:w="2838" w:type="dxa"/>
            <w:tcMar>
              <w:top w:w="43" w:type="dxa"/>
              <w:left w:w="115" w:type="dxa"/>
              <w:bottom w:w="43" w:type="dxa"/>
              <w:right w:w="115" w:type="dxa"/>
            </w:tcMar>
          </w:tcPr>
          <w:p w14:paraId="38E36846"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bCs/>
                <w:sz w:val="22"/>
                <w:szCs w:val="22"/>
              </w:rPr>
              <w:t xml:space="preserve">Moderate (score = 2) </w:t>
            </w:r>
          </w:p>
        </w:tc>
        <w:tc>
          <w:tcPr>
            <w:tcW w:w="2839" w:type="dxa"/>
            <w:tcMar>
              <w:top w:w="43" w:type="dxa"/>
              <w:left w:w="115" w:type="dxa"/>
              <w:bottom w:w="43" w:type="dxa"/>
              <w:right w:w="115" w:type="dxa"/>
            </w:tcMar>
          </w:tcPr>
          <w:p w14:paraId="0724233E" w14:textId="77777777" w:rsidR="00A6168D" w:rsidRPr="001740A7" w:rsidRDefault="00A6168D" w:rsidP="00CD680A">
            <w:pPr>
              <w:pStyle w:val="xmsonormal"/>
              <w:widowControl w:val="0"/>
              <w:spacing w:before="0" w:beforeAutospacing="0" w:after="0" w:afterAutospacing="0"/>
              <w:contextualSpacing/>
              <w:jc w:val="center"/>
              <w:rPr>
                <w:rFonts w:ascii="Arial" w:hAnsi="Arial" w:cs="Arial"/>
                <w:color w:val="212121"/>
                <w:sz w:val="22"/>
                <w:szCs w:val="22"/>
                <w:lang w:val="en-US"/>
              </w:rPr>
            </w:pPr>
            <w:r w:rsidRPr="001740A7">
              <w:rPr>
                <w:rFonts w:ascii="Arial" w:hAnsi="Arial" w:cs="Arial"/>
                <w:sz w:val="22"/>
                <w:szCs w:val="22"/>
              </w:rPr>
              <w:t>4 (1+2+1)</w:t>
            </w:r>
          </w:p>
        </w:tc>
        <w:tc>
          <w:tcPr>
            <w:tcW w:w="2839" w:type="dxa"/>
            <w:tcMar>
              <w:top w:w="43" w:type="dxa"/>
              <w:left w:w="115" w:type="dxa"/>
              <w:bottom w:w="43" w:type="dxa"/>
              <w:right w:w="115" w:type="dxa"/>
            </w:tcMar>
          </w:tcPr>
          <w:p w14:paraId="1068C4E3" w14:textId="77777777" w:rsidR="00A6168D" w:rsidRPr="001740A7" w:rsidRDefault="00A6168D" w:rsidP="00CD680A">
            <w:pPr>
              <w:pStyle w:val="xmsonormal"/>
              <w:widowControl w:val="0"/>
              <w:spacing w:before="0" w:beforeAutospacing="0" w:after="0" w:afterAutospacing="0"/>
              <w:contextualSpacing/>
              <w:jc w:val="center"/>
              <w:rPr>
                <w:rFonts w:ascii="Arial" w:hAnsi="Arial" w:cs="Arial"/>
                <w:color w:val="212121"/>
                <w:sz w:val="22"/>
                <w:szCs w:val="22"/>
                <w:lang w:val="en-US"/>
              </w:rPr>
            </w:pPr>
            <w:r w:rsidRPr="001740A7">
              <w:rPr>
                <w:rFonts w:ascii="Arial" w:hAnsi="Arial" w:cs="Arial"/>
                <w:sz w:val="22"/>
                <w:szCs w:val="22"/>
              </w:rPr>
              <w:t>3 (1+2+0)</w:t>
            </w:r>
          </w:p>
        </w:tc>
      </w:tr>
      <w:tr w:rsidR="00A6168D" w:rsidRPr="001740A7" w14:paraId="6DE6EE2B" w14:textId="77777777" w:rsidTr="00CD680A">
        <w:trPr>
          <w:cantSplit/>
        </w:trPr>
        <w:tc>
          <w:tcPr>
            <w:tcW w:w="2838" w:type="dxa"/>
            <w:tcMar>
              <w:top w:w="43" w:type="dxa"/>
              <w:left w:w="115" w:type="dxa"/>
              <w:bottom w:w="43" w:type="dxa"/>
              <w:right w:w="115" w:type="dxa"/>
            </w:tcMar>
          </w:tcPr>
          <w:p w14:paraId="62FB5AB1"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bCs/>
                <w:sz w:val="22"/>
                <w:szCs w:val="22"/>
              </w:rPr>
              <w:t xml:space="preserve">Light (score = 1) </w:t>
            </w:r>
          </w:p>
        </w:tc>
        <w:tc>
          <w:tcPr>
            <w:tcW w:w="2839" w:type="dxa"/>
            <w:tcMar>
              <w:top w:w="43" w:type="dxa"/>
              <w:left w:w="115" w:type="dxa"/>
              <w:bottom w:w="43" w:type="dxa"/>
              <w:right w:w="115" w:type="dxa"/>
            </w:tcMar>
          </w:tcPr>
          <w:p w14:paraId="5FD32F96" w14:textId="77777777" w:rsidR="00A6168D" w:rsidRPr="001740A7" w:rsidRDefault="00A6168D" w:rsidP="00CD680A">
            <w:pPr>
              <w:pStyle w:val="xmsonormal"/>
              <w:widowControl w:val="0"/>
              <w:spacing w:before="0" w:beforeAutospacing="0" w:after="0" w:afterAutospacing="0"/>
              <w:contextualSpacing/>
              <w:jc w:val="center"/>
              <w:rPr>
                <w:rFonts w:ascii="Arial" w:hAnsi="Arial" w:cs="Arial"/>
                <w:color w:val="212121"/>
                <w:sz w:val="22"/>
                <w:szCs w:val="22"/>
                <w:lang w:val="en-US"/>
              </w:rPr>
            </w:pPr>
            <w:r w:rsidRPr="001740A7">
              <w:rPr>
                <w:rFonts w:ascii="Arial" w:hAnsi="Arial" w:cs="Arial"/>
                <w:sz w:val="22"/>
                <w:szCs w:val="22"/>
              </w:rPr>
              <w:t>3 (1+1+1)</w:t>
            </w:r>
          </w:p>
        </w:tc>
        <w:tc>
          <w:tcPr>
            <w:tcW w:w="2839" w:type="dxa"/>
            <w:tcMar>
              <w:top w:w="43" w:type="dxa"/>
              <w:left w:w="115" w:type="dxa"/>
              <w:bottom w:w="43" w:type="dxa"/>
              <w:right w:w="115" w:type="dxa"/>
            </w:tcMar>
          </w:tcPr>
          <w:p w14:paraId="43D56DED" w14:textId="77777777" w:rsidR="00A6168D" w:rsidRPr="001740A7" w:rsidRDefault="00A6168D" w:rsidP="00CD680A">
            <w:pPr>
              <w:pStyle w:val="xmsonormal"/>
              <w:widowControl w:val="0"/>
              <w:spacing w:before="0" w:beforeAutospacing="0" w:after="0" w:afterAutospacing="0"/>
              <w:contextualSpacing/>
              <w:jc w:val="center"/>
              <w:rPr>
                <w:rFonts w:ascii="Arial" w:hAnsi="Arial" w:cs="Arial"/>
                <w:color w:val="212121"/>
                <w:sz w:val="22"/>
                <w:szCs w:val="22"/>
                <w:lang w:val="en-US"/>
              </w:rPr>
            </w:pPr>
            <w:r w:rsidRPr="001740A7">
              <w:rPr>
                <w:rFonts w:ascii="Arial" w:hAnsi="Arial" w:cs="Arial"/>
                <w:sz w:val="22"/>
                <w:szCs w:val="22"/>
              </w:rPr>
              <w:t>2 (1+1+0)</w:t>
            </w:r>
          </w:p>
        </w:tc>
      </w:tr>
    </w:tbl>
    <w:p w14:paraId="4F4BD5FD" w14:textId="77777777" w:rsidR="00A6168D" w:rsidRPr="001740A7" w:rsidRDefault="00A6168D" w:rsidP="00A6168D">
      <w:pPr>
        <w:pStyle w:val="xmsonormal"/>
        <w:widowControl w:val="0"/>
        <w:spacing w:before="0" w:beforeAutospacing="0" w:after="0" w:afterAutospacing="0"/>
        <w:rPr>
          <w:rFonts w:ascii="Arial" w:hAnsi="Arial" w:cs="Arial"/>
          <w:color w:val="212121"/>
          <w:sz w:val="22"/>
          <w:szCs w:val="22"/>
          <w:lang w:val="en-US"/>
        </w:rPr>
      </w:pPr>
    </w:p>
    <w:p w14:paraId="2B5D3A2E" w14:textId="77777777" w:rsidR="00A6168D" w:rsidRPr="001740A7" w:rsidRDefault="00A6168D" w:rsidP="00A6168D">
      <w:pPr>
        <w:pStyle w:val="Heading2"/>
        <w:rPr>
          <w:rFonts w:ascii="Arial" w:hAnsi="Arial" w:cs="Arial"/>
        </w:rPr>
      </w:pPr>
      <w:bookmarkStart w:id="13" w:name="_Toc17208539"/>
      <w:bookmarkStart w:id="14" w:name="_Toc19634828"/>
      <w:bookmarkStart w:id="15" w:name="_Toc23490138"/>
      <w:r w:rsidRPr="001740A7">
        <w:rPr>
          <w:rFonts w:ascii="Arial" w:hAnsi="Arial" w:cs="Arial"/>
        </w:rPr>
        <w:t>STEP 3: Determine the cleaning frequency based on the risk stratification matrix:</w:t>
      </w:r>
      <w:bookmarkEnd w:id="13"/>
      <w:bookmarkEnd w:id="14"/>
      <w:bookmarkEnd w:id="15"/>
      <w:r w:rsidRPr="001740A7">
        <w:rPr>
          <w:rFonts w:ascii="Arial" w:hAnsi="Arial" w:cs="Arial"/>
        </w:rPr>
        <w:t xml:space="preserve"> </w:t>
      </w:r>
    </w:p>
    <w:p w14:paraId="328DC670" w14:textId="77777777" w:rsidR="00A6168D" w:rsidRPr="001740A7" w:rsidRDefault="00A6168D" w:rsidP="00A6168D">
      <w:pPr>
        <w:pStyle w:val="xmsonormal"/>
        <w:widowControl w:val="0"/>
        <w:spacing w:before="0" w:beforeAutospacing="0" w:after="0" w:afterAutospacing="0"/>
        <w:rPr>
          <w:rFonts w:ascii="Arial" w:hAnsi="Arial" w:cs="Arial"/>
          <w:sz w:val="22"/>
          <w:szCs w:val="22"/>
        </w:rPr>
      </w:pPr>
      <w:r w:rsidRPr="001740A7">
        <w:rPr>
          <w:rFonts w:ascii="Arial" w:hAnsi="Arial" w:cs="Arial"/>
          <w:sz w:val="22"/>
          <w:szCs w:val="22"/>
        </w:rPr>
        <w:t>Cleaning frequencies for each patient care area are derived from the total score that results from the risk stratification matrix above:</w:t>
      </w:r>
    </w:p>
    <w:p w14:paraId="0402745C" w14:textId="77777777" w:rsidR="00A6168D" w:rsidRPr="001740A7" w:rsidRDefault="00A6168D" w:rsidP="00A6168D">
      <w:pPr>
        <w:pStyle w:val="xmsonormal"/>
        <w:widowControl w:val="0"/>
        <w:spacing w:before="0" w:beforeAutospacing="0" w:after="0" w:afterAutospacing="0"/>
        <w:rPr>
          <w:rFonts w:ascii="Arial" w:hAnsi="Arial" w:cs="Arial"/>
          <w:sz w:val="22"/>
          <w:szCs w:val="22"/>
        </w:rPr>
      </w:pPr>
    </w:p>
    <w:p w14:paraId="6D368D57" w14:textId="77777777" w:rsidR="00A6168D" w:rsidRPr="001740A7" w:rsidRDefault="00A6168D" w:rsidP="00A6168D">
      <w:pPr>
        <w:pStyle w:val="xmsonormal"/>
        <w:widowControl w:val="0"/>
        <w:spacing w:before="0" w:beforeAutospacing="0" w:after="0" w:afterAutospacing="0"/>
        <w:rPr>
          <w:rFonts w:ascii="Arial" w:hAnsi="Arial" w:cs="Arial"/>
          <w:color w:val="212121"/>
          <w:sz w:val="22"/>
          <w:szCs w:val="22"/>
          <w:lang w:val="en-US"/>
        </w:rPr>
      </w:pPr>
      <w:r w:rsidRPr="001740A7">
        <w:rPr>
          <w:rFonts w:ascii="Arial" w:hAnsi="Arial" w:cs="Arial"/>
          <w:b/>
          <w:bCs/>
          <w:sz w:val="22"/>
          <w:szCs w:val="22"/>
        </w:rPr>
        <w:t>Cleaning Frequencies Based on Total Risk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700"/>
        <w:gridCol w:w="6563"/>
      </w:tblGrid>
      <w:tr w:rsidR="00A6168D" w:rsidRPr="001740A7" w14:paraId="10B50B0F" w14:textId="77777777" w:rsidTr="00CD680A">
        <w:trPr>
          <w:cantSplit/>
          <w:tblHeader/>
        </w:trPr>
        <w:tc>
          <w:tcPr>
            <w:tcW w:w="1809" w:type="dxa"/>
            <w:shd w:val="clear" w:color="auto" w:fill="DEEAF6"/>
            <w:vAlign w:val="center"/>
          </w:tcPr>
          <w:p w14:paraId="60D92AFB" w14:textId="77777777" w:rsidR="00A6168D" w:rsidRPr="001740A7" w:rsidRDefault="00A6168D" w:rsidP="00CD680A">
            <w:pPr>
              <w:pStyle w:val="xmsonormal"/>
              <w:widowControl w:val="0"/>
              <w:spacing w:before="0" w:beforeAutospacing="0" w:after="0" w:afterAutospacing="0"/>
              <w:contextualSpacing/>
              <w:rPr>
                <w:rFonts w:ascii="Arial" w:hAnsi="Arial" w:cs="Arial"/>
                <w:color w:val="FFFFFF"/>
                <w:sz w:val="22"/>
                <w:szCs w:val="22"/>
                <w:lang w:val="en-US"/>
              </w:rPr>
            </w:pPr>
            <w:r w:rsidRPr="001740A7">
              <w:rPr>
                <w:rFonts w:ascii="Arial" w:hAnsi="Arial" w:cs="Arial"/>
                <w:b/>
                <w:bCs/>
                <w:sz w:val="22"/>
                <w:szCs w:val="22"/>
              </w:rPr>
              <w:t xml:space="preserve">Total Risk Score </w:t>
            </w:r>
          </w:p>
        </w:tc>
        <w:tc>
          <w:tcPr>
            <w:tcW w:w="1701" w:type="dxa"/>
            <w:shd w:val="clear" w:color="auto" w:fill="DEEAF6"/>
          </w:tcPr>
          <w:p w14:paraId="0652BA13" w14:textId="77777777" w:rsidR="00A6168D" w:rsidRPr="001740A7" w:rsidRDefault="00A6168D" w:rsidP="00CD680A">
            <w:pPr>
              <w:pStyle w:val="xmsonormal"/>
              <w:widowControl w:val="0"/>
              <w:spacing w:before="0" w:beforeAutospacing="0" w:after="0" w:afterAutospacing="0"/>
              <w:contextualSpacing/>
              <w:rPr>
                <w:rFonts w:ascii="Arial" w:hAnsi="Arial" w:cs="Arial"/>
                <w:color w:val="FFFFFF"/>
                <w:sz w:val="22"/>
                <w:szCs w:val="22"/>
                <w:lang w:val="en-US"/>
              </w:rPr>
            </w:pPr>
            <w:r w:rsidRPr="001740A7">
              <w:rPr>
                <w:rFonts w:ascii="Arial" w:hAnsi="Arial" w:cs="Arial"/>
                <w:b/>
                <w:bCs/>
                <w:sz w:val="22"/>
                <w:szCs w:val="22"/>
              </w:rPr>
              <w:t xml:space="preserve">Risk Type </w:t>
            </w:r>
          </w:p>
        </w:tc>
        <w:tc>
          <w:tcPr>
            <w:tcW w:w="6570" w:type="dxa"/>
            <w:shd w:val="clear" w:color="auto" w:fill="DEEAF6"/>
          </w:tcPr>
          <w:p w14:paraId="2EB92B0B" w14:textId="77777777" w:rsidR="00A6168D" w:rsidRPr="001740A7" w:rsidRDefault="00A6168D" w:rsidP="00CD680A">
            <w:pPr>
              <w:pStyle w:val="xmsonormal"/>
              <w:widowControl w:val="0"/>
              <w:spacing w:before="0" w:beforeAutospacing="0" w:after="0" w:afterAutospacing="0"/>
              <w:contextualSpacing/>
              <w:rPr>
                <w:rFonts w:ascii="Arial" w:hAnsi="Arial" w:cs="Arial"/>
                <w:color w:val="FFFFFF"/>
                <w:sz w:val="22"/>
                <w:szCs w:val="22"/>
                <w:lang w:val="en-US"/>
              </w:rPr>
            </w:pPr>
            <w:r w:rsidRPr="001740A7">
              <w:rPr>
                <w:rFonts w:ascii="Arial" w:hAnsi="Arial" w:cs="Arial"/>
                <w:b/>
                <w:bCs/>
                <w:sz w:val="22"/>
                <w:szCs w:val="22"/>
              </w:rPr>
              <w:t xml:space="preserve">Minimum Cleaning Frequency </w:t>
            </w:r>
          </w:p>
        </w:tc>
      </w:tr>
      <w:tr w:rsidR="00A6168D" w:rsidRPr="001740A7" w14:paraId="237C7BFF" w14:textId="77777777" w:rsidTr="00CD680A">
        <w:trPr>
          <w:cantSplit/>
        </w:trPr>
        <w:tc>
          <w:tcPr>
            <w:tcW w:w="1809" w:type="dxa"/>
            <w:tcMar>
              <w:top w:w="43" w:type="dxa"/>
              <w:left w:w="115" w:type="dxa"/>
              <w:bottom w:w="43" w:type="dxa"/>
              <w:right w:w="115" w:type="dxa"/>
            </w:tcMar>
          </w:tcPr>
          <w:p w14:paraId="0C75EB8F"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color w:val="212121"/>
                <w:sz w:val="22"/>
                <w:szCs w:val="22"/>
                <w:lang w:val="en-US"/>
              </w:rPr>
              <w:t>7</w:t>
            </w:r>
          </w:p>
        </w:tc>
        <w:tc>
          <w:tcPr>
            <w:tcW w:w="1701" w:type="dxa"/>
            <w:tcMar>
              <w:top w:w="43" w:type="dxa"/>
              <w:left w:w="115" w:type="dxa"/>
              <w:bottom w:w="43" w:type="dxa"/>
              <w:right w:w="115" w:type="dxa"/>
            </w:tcMar>
          </w:tcPr>
          <w:p w14:paraId="22DA8DC4"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sz w:val="22"/>
                <w:szCs w:val="22"/>
              </w:rPr>
              <w:t xml:space="preserve">High Risk </w:t>
            </w:r>
          </w:p>
        </w:tc>
        <w:tc>
          <w:tcPr>
            <w:tcW w:w="6570" w:type="dxa"/>
            <w:tcMar>
              <w:top w:w="43" w:type="dxa"/>
              <w:left w:w="115" w:type="dxa"/>
              <w:bottom w:w="43" w:type="dxa"/>
              <w:right w:w="115" w:type="dxa"/>
            </w:tcMar>
            <w:vAlign w:val="center"/>
          </w:tcPr>
          <w:p w14:paraId="357D5040"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sz w:val="22"/>
                <w:szCs w:val="22"/>
              </w:rPr>
              <w:t xml:space="preserve">Clean after each case/event/procedure and Clean additionally as required </w:t>
            </w:r>
          </w:p>
        </w:tc>
      </w:tr>
      <w:tr w:rsidR="00A6168D" w:rsidRPr="001740A7" w14:paraId="6E2AFF8C" w14:textId="77777777" w:rsidTr="00CD680A">
        <w:trPr>
          <w:cantSplit/>
        </w:trPr>
        <w:tc>
          <w:tcPr>
            <w:tcW w:w="1809" w:type="dxa"/>
            <w:tcMar>
              <w:top w:w="43" w:type="dxa"/>
              <w:left w:w="115" w:type="dxa"/>
              <w:bottom w:w="43" w:type="dxa"/>
              <w:right w:w="115" w:type="dxa"/>
            </w:tcMar>
          </w:tcPr>
          <w:p w14:paraId="79ADA9D1"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color w:val="212121"/>
                <w:sz w:val="22"/>
                <w:szCs w:val="22"/>
                <w:lang w:val="en-US"/>
              </w:rPr>
              <w:t>4-6</w:t>
            </w:r>
          </w:p>
        </w:tc>
        <w:tc>
          <w:tcPr>
            <w:tcW w:w="1701" w:type="dxa"/>
            <w:tcMar>
              <w:top w:w="43" w:type="dxa"/>
              <w:left w:w="115" w:type="dxa"/>
              <w:bottom w:w="43" w:type="dxa"/>
              <w:right w:w="115" w:type="dxa"/>
            </w:tcMar>
          </w:tcPr>
          <w:p w14:paraId="1658C25F"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sz w:val="22"/>
                <w:szCs w:val="22"/>
              </w:rPr>
              <w:t xml:space="preserve">Moderate Risk </w:t>
            </w:r>
          </w:p>
        </w:tc>
        <w:tc>
          <w:tcPr>
            <w:tcW w:w="6570" w:type="dxa"/>
            <w:tcMar>
              <w:top w:w="43" w:type="dxa"/>
              <w:left w:w="115" w:type="dxa"/>
              <w:bottom w:w="43" w:type="dxa"/>
              <w:right w:w="115" w:type="dxa"/>
            </w:tcMar>
            <w:vAlign w:val="center"/>
          </w:tcPr>
          <w:p w14:paraId="66256B56" w14:textId="77777777" w:rsidR="00A6168D" w:rsidRPr="001740A7" w:rsidRDefault="00A6168D" w:rsidP="00CD680A">
            <w:pPr>
              <w:pStyle w:val="xmsonormal"/>
              <w:widowControl w:val="0"/>
              <w:spacing w:before="0" w:beforeAutospacing="0" w:after="0" w:afterAutospacing="0"/>
              <w:contextualSpacing/>
              <w:rPr>
                <w:rFonts w:ascii="Arial" w:hAnsi="Arial" w:cs="Arial"/>
                <w:sz w:val="22"/>
                <w:szCs w:val="22"/>
              </w:rPr>
            </w:pPr>
            <w:r w:rsidRPr="001740A7">
              <w:rPr>
                <w:rFonts w:ascii="Arial" w:hAnsi="Arial" w:cs="Arial"/>
                <w:sz w:val="22"/>
                <w:szCs w:val="22"/>
              </w:rPr>
              <w:t xml:space="preserve">Clean at least once daily </w:t>
            </w:r>
          </w:p>
          <w:p w14:paraId="44939E41"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sz w:val="22"/>
                <w:szCs w:val="22"/>
              </w:rPr>
              <w:t>Clean additionally as required (e.g., gross soiling)</w:t>
            </w:r>
          </w:p>
        </w:tc>
      </w:tr>
      <w:tr w:rsidR="00A6168D" w:rsidRPr="001740A7" w14:paraId="1B5F135A" w14:textId="77777777" w:rsidTr="00CD680A">
        <w:trPr>
          <w:cantSplit/>
        </w:trPr>
        <w:tc>
          <w:tcPr>
            <w:tcW w:w="1809" w:type="dxa"/>
            <w:tcMar>
              <w:top w:w="43" w:type="dxa"/>
              <w:left w:w="115" w:type="dxa"/>
              <w:bottom w:w="43" w:type="dxa"/>
              <w:right w:w="115" w:type="dxa"/>
            </w:tcMar>
          </w:tcPr>
          <w:p w14:paraId="029A9932"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color w:val="212121"/>
                <w:sz w:val="22"/>
                <w:szCs w:val="22"/>
                <w:lang w:val="en-US"/>
              </w:rPr>
              <w:t>2-3</w:t>
            </w:r>
          </w:p>
        </w:tc>
        <w:tc>
          <w:tcPr>
            <w:tcW w:w="1701" w:type="dxa"/>
            <w:tcMar>
              <w:top w:w="43" w:type="dxa"/>
              <w:left w:w="115" w:type="dxa"/>
              <w:bottom w:w="43" w:type="dxa"/>
              <w:right w:w="115" w:type="dxa"/>
            </w:tcMar>
          </w:tcPr>
          <w:p w14:paraId="7FF3C609"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sz w:val="22"/>
                <w:szCs w:val="22"/>
              </w:rPr>
              <w:t xml:space="preserve">Low Risk </w:t>
            </w:r>
          </w:p>
        </w:tc>
        <w:tc>
          <w:tcPr>
            <w:tcW w:w="6570" w:type="dxa"/>
            <w:tcMar>
              <w:top w:w="43" w:type="dxa"/>
              <w:left w:w="115" w:type="dxa"/>
              <w:bottom w:w="43" w:type="dxa"/>
              <w:right w:w="115" w:type="dxa"/>
            </w:tcMar>
            <w:vAlign w:val="center"/>
          </w:tcPr>
          <w:p w14:paraId="46015449" w14:textId="77777777" w:rsidR="00A6168D" w:rsidRPr="001740A7" w:rsidRDefault="00A6168D" w:rsidP="00CD680A">
            <w:pPr>
              <w:pStyle w:val="xmsonormal"/>
              <w:widowControl w:val="0"/>
              <w:spacing w:before="0" w:beforeAutospacing="0" w:after="0" w:afterAutospacing="0"/>
              <w:contextualSpacing/>
              <w:rPr>
                <w:rFonts w:ascii="Arial" w:hAnsi="Arial" w:cs="Arial"/>
                <w:sz w:val="22"/>
                <w:szCs w:val="22"/>
              </w:rPr>
            </w:pPr>
            <w:r w:rsidRPr="001740A7">
              <w:rPr>
                <w:rFonts w:ascii="Arial" w:hAnsi="Arial" w:cs="Arial"/>
                <w:sz w:val="22"/>
                <w:szCs w:val="22"/>
              </w:rPr>
              <w:t xml:space="preserve">Clean according to a fixed schedule </w:t>
            </w:r>
          </w:p>
          <w:p w14:paraId="3C0B5F98" w14:textId="77777777" w:rsidR="00A6168D" w:rsidRPr="001740A7" w:rsidRDefault="00A6168D" w:rsidP="00CD680A">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sz w:val="22"/>
                <w:szCs w:val="22"/>
              </w:rPr>
              <w:t xml:space="preserve">Clean additionally as required (e.g., gross soiling) </w:t>
            </w:r>
          </w:p>
        </w:tc>
      </w:tr>
    </w:tbl>
    <w:p w14:paraId="297621F6" w14:textId="77777777" w:rsidR="00F524A2" w:rsidRPr="001740A7" w:rsidRDefault="00F524A2">
      <w:pPr>
        <w:rPr>
          <w:rFonts w:ascii="Arial" w:hAnsi="Arial" w:cs="Arial"/>
        </w:rPr>
      </w:pPr>
    </w:p>
    <w:p w14:paraId="3401B209" w14:textId="77777777" w:rsidR="00693161" w:rsidRPr="001740A7" w:rsidRDefault="00693161">
      <w:pPr>
        <w:rPr>
          <w:rFonts w:ascii="Arial" w:hAnsi="Arial" w:cs="Arial"/>
        </w:rPr>
      </w:pPr>
      <w:r w:rsidRPr="001740A7">
        <w:rPr>
          <w:rFonts w:ascii="Arial" w:hAnsi="Arial" w:cs="Arial"/>
        </w:rPr>
        <w:br w:type="page"/>
      </w:r>
    </w:p>
    <w:p w14:paraId="4017CAAD" w14:textId="77777777" w:rsidR="00F524A2" w:rsidRPr="001740A7" w:rsidRDefault="00F524A2">
      <w:pPr>
        <w:rPr>
          <w:rFonts w:ascii="Arial" w:hAnsi="Arial" w:cs="Arial"/>
        </w:rPr>
      </w:pPr>
      <w:r w:rsidRPr="001740A7">
        <w:rPr>
          <w:rFonts w:ascii="Arial" w:hAnsi="Arial" w:cs="Arial"/>
        </w:rPr>
        <w:lastRenderedPageBreak/>
        <w:t xml:space="preserve">EXAMPLES: </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020"/>
        <w:gridCol w:w="1978"/>
        <w:gridCol w:w="1917"/>
        <w:gridCol w:w="1844"/>
      </w:tblGrid>
      <w:tr w:rsidR="00207365" w:rsidRPr="001740A7" w14:paraId="3EB60A30" w14:textId="77777777" w:rsidTr="00207365">
        <w:trPr>
          <w:cantSplit/>
          <w:tblHeader/>
        </w:trPr>
        <w:tc>
          <w:tcPr>
            <w:tcW w:w="2082" w:type="dxa"/>
            <w:shd w:val="clear" w:color="auto" w:fill="DEEAF6"/>
            <w:vAlign w:val="bottom"/>
          </w:tcPr>
          <w:p w14:paraId="6BC72CA8" w14:textId="77777777" w:rsidR="00207365" w:rsidRPr="001740A7" w:rsidRDefault="00207365" w:rsidP="00207365">
            <w:pPr>
              <w:pStyle w:val="xmsonormal"/>
              <w:widowControl w:val="0"/>
              <w:spacing w:before="0" w:beforeAutospacing="0" w:after="0" w:afterAutospacing="0"/>
              <w:contextualSpacing/>
              <w:rPr>
                <w:rFonts w:ascii="Arial" w:hAnsi="Arial" w:cs="Arial"/>
                <w:color w:val="FFFFFF"/>
                <w:sz w:val="22"/>
                <w:szCs w:val="22"/>
                <w:lang w:val="en-US"/>
              </w:rPr>
            </w:pPr>
            <w:r w:rsidRPr="001740A7">
              <w:rPr>
                <w:rFonts w:ascii="Arial" w:hAnsi="Arial" w:cs="Arial"/>
                <w:b/>
                <w:bCs/>
                <w:sz w:val="22"/>
                <w:szCs w:val="22"/>
              </w:rPr>
              <w:t>Location</w:t>
            </w:r>
          </w:p>
        </w:tc>
        <w:tc>
          <w:tcPr>
            <w:tcW w:w="2082" w:type="dxa"/>
            <w:shd w:val="clear" w:color="auto" w:fill="DEEAF6"/>
            <w:vAlign w:val="bottom"/>
          </w:tcPr>
          <w:p w14:paraId="530912C1" w14:textId="77777777" w:rsidR="00207365" w:rsidRPr="001740A7" w:rsidRDefault="00207365" w:rsidP="00207365">
            <w:pPr>
              <w:pStyle w:val="xmsonormal"/>
              <w:widowControl w:val="0"/>
              <w:spacing w:before="0" w:beforeAutospacing="0" w:after="0" w:afterAutospacing="0"/>
              <w:contextualSpacing/>
              <w:rPr>
                <w:rFonts w:ascii="Arial" w:hAnsi="Arial" w:cs="Arial"/>
                <w:b/>
                <w:bCs/>
                <w:sz w:val="22"/>
                <w:szCs w:val="22"/>
              </w:rPr>
            </w:pPr>
            <w:r w:rsidRPr="001740A7">
              <w:rPr>
                <w:rFonts w:ascii="Arial" w:hAnsi="Arial" w:cs="Arial"/>
                <w:b/>
                <w:bCs/>
                <w:sz w:val="22"/>
                <w:szCs w:val="22"/>
              </w:rPr>
              <w:t>Probability of Contamination</w:t>
            </w:r>
          </w:p>
        </w:tc>
        <w:tc>
          <w:tcPr>
            <w:tcW w:w="2082" w:type="dxa"/>
            <w:shd w:val="clear" w:color="auto" w:fill="DEEAF6"/>
            <w:vAlign w:val="bottom"/>
          </w:tcPr>
          <w:p w14:paraId="1E215B58" w14:textId="77777777" w:rsidR="00207365" w:rsidRPr="001740A7" w:rsidRDefault="00207365" w:rsidP="00207365">
            <w:pPr>
              <w:pStyle w:val="xmsonormal"/>
              <w:widowControl w:val="0"/>
              <w:spacing w:before="0" w:beforeAutospacing="0" w:after="0" w:afterAutospacing="0"/>
              <w:contextualSpacing/>
              <w:rPr>
                <w:rFonts w:ascii="Arial" w:hAnsi="Arial" w:cs="Arial"/>
                <w:b/>
                <w:bCs/>
                <w:sz w:val="22"/>
                <w:szCs w:val="22"/>
              </w:rPr>
            </w:pPr>
            <w:r w:rsidRPr="001740A7">
              <w:rPr>
                <w:rFonts w:ascii="Arial" w:hAnsi="Arial" w:cs="Arial"/>
                <w:b/>
                <w:bCs/>
                <w:sz w:val="22"/>
                <w:szCs w:val="22"/>
              </w:rPr>
              <w:t>Vulnerability of Population</w:t>
            </w:r>
          </w:p>
        </w:tc>
        <w:tc>
          <w:tcPr>
            <w:tcW w:w="2082" w:type="dxa"/>
            <w:shd w:val="clear" w:color="auto" w:fill="DEEAF6"/>
            <w:vAlign w:val="bottom"/>
          </w:tcPr>
          <w:p w14:paraId="00BA01A9" w14:textId="77777777" w:rsidR="00207365" w:rsidRPr="001740A7" w:rsidRDefault="00207365" w:rsidP="00207365">
            <w:pPr>
              <w:pStyle w:val="xmsonormal"/>
              <w:widowControl w:val="0"/>
              <w:spacing w:before="0" w:beforeAutospacing="0" w:after="0" w:afterAutospacing="0"/>
              <w:contextualSpacing/>
              <w:rPr>
                <w:rFonts w:ascii="Arial" w:hAnsi="Arial" w:cs="Arial"/>
                <w:color w:val="FFFFFF"/>
                <w:sz w:val="22"/>
                <w:szCs w:val="22"/>
                <w:lang w:val="en-US"/>
              </w:rPr>
            </w:pPr>
            <w:r w:rsidRPr="001740A7">
              <w:rPr>
                <w:rFonts w:ascii="Arial" w:hAnsi="Arial" w:cs="Arial"/>
                <w:b/>
                <w:bCs/>
                <w:sz w:val="22"/>
                <w:szCs w:val="22"/>
              </w:rPr>
              <w:t>Potential for Exposure</w:t>
            </w:r>
          </w:p>
        </w:tc>
        <w:tc>
          <w:tcPr>
            <w:tcW w:w="2083" w:type="dxa"/>
            <w:shd w:val="clear" w:color="auto" w:fill="DEEAF6"/>
            <w:vAlign w:val="bottom"/>
          </w:tcPr>
          <w:p w14:paraId="7ADE56D4" w14:textId="77777777" w:rsidR="00207365" w:rsidRPr="001740A7" w:rsidRDefault="00207365" w:rsidP="00207365">
            <w:pPr>
              <w:pStyle w:val="xmsonormal"/>
              <w:widowControl w:val="0"/>
              <w:spacing w:before="0" w:beforeAutospacing="0" w:after="0" w:afterAutospacing="0"/>
              <w:contextualSpacing/>
              <w:rPr>
                <w:rFonts w:ascii="Arial" w:hAnsi="Arial" w:cs="Arial"/>
                <w:b/>
                <w:bCs/>
                <w:sz w:val="22"/>
                <w:szCs w:val="22"/>
              </w:rPr>
            </w:pPr>
            <w:r w:rsidRPr="001740A7">
              <w:rPr>
                <w:rFonts w:ascii="Arial" w:hAnsi="Arial" w:cs="Arial"/>
                <w:b/>
                <w:bCs/>
                <w:sz w:val="22"/>
                <w:szCs w:val="22"/>
              </w:rPr>
              <w:t>Total Score</w:t>
            </w:r>
          </w:p>
        </w:tc>
      </w:tr>
      <w:tr w:rsidR="00207365" w:rsidRPr="001740A7" w14:paraId="4B7B1F11" w14:textId="77777777" w:rsidTr="00207365">
        <w:trPr>
          <w:cantSplit/>
          <w:trHeight w:val="270"/>
        </w:trPr>
        <w:tc>
          <w:tcPr>
            <w:tcW w:w="2082" w:type="dxa"/>
            <w:vMerge w:val="restart"/>
            <w:tcMar>
              <w:top w:w="43" w:type="dxa"/>
              <w:left w:w="115" w:type="dxa"/>
              <w:bottom w:w="43" w:type="dxa"/>
              <w:right w:w="115" w:type="dxa"/>
            </w:tcMar>
          </w:tcPr>
          <w:p w14:paraId="68B1AC86" w14:textId="77777777" w:rsidR="00207365" w:rsidRPr="001740A7" w:rsidRDefault="00207365" w:rsidP="00207365">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color w:val="212121"/>
                <w:sz w:val="22"/>
                <w:szCs w:val="22"/>
                <w:lang w:val="en-US"/>
              </w:rPr>
              <w:t>Burn unit</w:t>
            </w:r>
          </w:p>
          <w:p w14:paraId="03348FC3" w14:textId="77777777" w:rsidR="00207365" w:rsidRPr="001740A7" w:rsidRDefault="00207365" w:rsidP="00207365">
            <w:pPr>
              <w:pStyle w:val="xmsonormal"/>
              <w:widowControl w:val="0"/>
              <w:spacing w:before="0" w:beforeAutospacing="0" w:after="0" w:afterAutospacing="0"/>
              <w:contextualSpacing/>
              <w:rPr>
                <w:rFonts w:ascii="Arial" w:hAnsi="Arial" w:cs="Arial"/>
                <w:color w:val="212121"/>
                <w:sz w:val="22"/>
                <w:szCs w:val="22"/>
                <w:lang w:val="en-US"/>
              </w:rPr>
            </w:pPr>
          </w:p>
        </w:tc>
        <w:tc>
          <w:tcPr>
            <w:tcW w:w="2082" w:type="dxa"/>
            <w:vMerge w:val="restart"/>
            <w:tcMar>
              <w:top w:w="43" w:type="dxa"/>
              <w:left w:w="115" w:type="dxa"/>
              <w:bottom w:w="43" w:type="dxa"/>
              <w:right w:w="115" w:type="dxa"/>
            </w:tcMar>
          </w:tcPr>
          <w:p w14:paraId="127BE1B7"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3</w:t>
            </w:r>
          </w:p>
        </w:tc>
        <w:tc>
          <w:tcPr>
            <w:tcW w:w="2082" w:type="dxa"/>
            <w:vMerge w:val="restart"/>
          </w:tcPr>
          <w:p w14:paraId="358EF3F6"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1</w:t>
            </w:r>
          </w:p>
        </w:tc>
        <w:tc>
          <w:tcPr>
            <w:tcW w:w="2082" w:type="dxa"/>
            <w:tcMar>
              <w:top w:w="43" w:type="dxa"/>
              <w:left w:w="115" w:type="dxa"/>
              <w:bottom w:w="43" w:type="dxa"/>
              <w:right w:w="115" w:type="dxa"/>
            </w:tcMar>
          </w:tcPr>
          <w:p w14:paraId="483203FA"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High-touch (3)</w:t>
            </w:r>
          </w:p>
        </w:tc>
        <w:tc>
          <w:tcPr>
            <w:tcW w:w="2083" w:type="dxa"/>
            <w:tcMar>
              <w:top w:w="43" w:type="dxa"/>
              <w:left w:w="115" w:type="dxa"/>
              <w:bottom w:w="43" w:type="dxa"/>
              <w:right w:w="115" w:type="dxa"/>
            </w:tcMar>
          </w:tcPr>
          <w:p w14:paraId="41CF5EF8"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7</w:t>
            </w:r>
          </w:p>
        </w:tc>
      </w:tr>
      <w:tr w:rsidR="00207365" w:rsidRPr="001740A7" w14:paraId="235C39EF" w14:textId="77777777" w:rsidTr="00207365">
        <w:trPr>
          <w:cantSplit/>
          <w:trHeight w:val="270"/>
        </w:trPr>
        <w:tc>
          <w:tcPr>
            <w:tcW w:w="2082" w:type="dxa"/>
            <w:vMerge/>
            <w:tcMar>
              <w:top w:w="43" w:type="dxa"/>
              <w:left w:w="115" w:type="dxa"/>
              <w:bottom w:w="43" w:type="dxa"/>
              <w:right w:w="115" w:type="dxa"/>
            </w:tcMar>
          </w:tcPr>
          <w:p w14:paraId="4D63BA3F" w14:textId="77777777" w:rsidR="00207365" w:rsidRPr="001740A7" w:rsidRDefault="00207365" w:rsidP="00207365">
            <w:pPr>
              <w:pStyle w:val="xmsonormal"/>
              <w:widowControl w:val="0"/>
              <w:spacing w:before="0" w:beforeAutospacing="0" w:after="0" w:afterAutospacing="0"/>
              <w:contextualSpacing/>
              <w:rPr>
                <w:rFonts w:ascii="Arial" w:hAnsi="Arial" w:cs="Arial"/>
                <w:color w:val="212121"/>
                <w:sz w:val="22"/>
                <w:szCs w:val="22"/>
                <w:lang w:val="en-US"/>
              </w:rPr>
            </w:pPr>
          </w:p>
        </w:tc>
        <w:tc>
          <w:tcPr>
            <w:tcW w:w="2082" w:type="dxa"/>
            <w:vMerge/>
            <w:tcMar>
              <w:top w:w="43" w:type="dxa"/>
              <w:left w:w="115" w:type="dxa"/>
              <w:bottom w:w="43" w:type="dxa"/>
              <w:right w:w="115" w:type="dxa"/>
            </w:tcMar>
          </w:tcPr>
          <w:p w14:paraId="05ECF262"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p>
        </w:tc>
        <w:tc>
          <w:tcPr>
            <w:tcW w:w="2082" w:type="dxa"/>
            <w:vMerge/>
          </w:tcPr>
          <w:p w14:paraId="6E1B57DD"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p>
        </w:tc>
        <w:tc>
          <w:tcPr>
            <w:tcW w:w="2082" w:type="dxa"/>
            <w:tcMar>
              <w:top w:w="43" w:type="dxa"/>
              <w:left w:w="115" w:type="dxa"/>
              <w:bottom w:w="43" w:type="dxa"/>
              <w:right w:w="115" w:type="dxa"/>
            </w:tcMar>
          </w:tcPr>
          <w:p w14:paraId="2A06B751"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Low-touch (1)</w:t>
            </w:r>
          </w:p>
        </w:tc>
        <w:tc>
          <w:tcPr>
            <w:tcW w:w="2083" w:type="dxa"/>
            <w:tcMar>
              <w:top w:w="43" w:type="dxa"/>
              <w:left w:w="115" w:type="dxa"/>
              <w:bottom w:w="43" w:type="dxa"/>
              <w:right w:w="115" w:type="dxa"/>
            </w:tcMar>
          </w:tcPr>
          <w:p w14:paraId="5EB365FB"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5</w:t>
            </w:r>
          </w:p>
        </w:tc>
      </w:tr>
      <w:tr w:rsidR="00207365" w:rsidRPr="001740A7" w14:paraId="3D7BC085" w14:textId="77777777" w:rsidTr="00207365">
        <w:trPr>
          <w:cantSplit/>
          <w:trHeight w:val="270"/>
        </w:trPr>
        <w:tc>
          <w:tcPr>
            <w:tcW w:w="2082" w:type="dxa"/>
            <w:vMerge w:val="restart"/>
            <w:tcMar>
              <w:top w:w="43" w:type="dxa"/>
              <w:left w:w="115" w:type="dxa"/>
              <w:bottom w:w="43" w:type="dxa"/>
              <w:right w:w="115" w:type="dxa"/>
            </w:tcMar>
          </w:tcPr>
          <w:p w14:paraId="242740F2" w14:textId="77777777" w:rsidR="00207365" w:rsidRPr="001740A7" w:rsidRDefault="00207365" w:rsidP="00207365">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color w:val="212121"/>
                <w:sz w:val="22"/>
                <w:szCs w:val="22"/>
                <w:lang w:val="en-US"/>
              </w:rPr>
              <w:t xml:space="preserve">General inpatient </w:t>
            </w:r>
          </w:p>
          <w:p w14:paraId="10F34375" w14:textId="77777777" w:rsidR="00207365" w:rsidRPr="001740A7" w:rsidRDefault="00207365" w:rsidP="00207365">
            <w:pPr>
              <w:pStyle w:val="xmsonormal"/>
              <w:widowControl w:val="0"/>
              <w:spacing w:before="0" w:beforeAutospacing="0" w:after="0" w:afterAutospacing="0"/>
              <w:contextualSpacing/>
              <w:rPr>
                <w:rFonts w:ascii="Arial" w:hAnsi="Arial" w:cs="Arial"/>
                <w:color w:val="212121"/>
                <w:sz w:val="22"/>
                <w:szCs w:val="22"/>
                <w:lang w:val="en-US"/>
              </w:rPr>
            </w:pPr>
          </w:p>
        </w:tc>
        <w:tc>
          <w:tcPr>
            <w:tcW w:w="2082" w:type="dxa"/>
            <w:vMerge w:val="restart"/>
            <w:tcMar>
              <w:top w:w="43" w:type="dxa"/>
              <w:left w:w="115" w:type="dxa"/>
              <w:bottom w:w="43" w:type="dxa"/>
              <w:right w:w="115" w:type="dxa"/>
            </w:tcMar>
          </w:tcPr>
          <w:p w14:paraId="5F6F942D"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2</w:t>
            </w:r>
          </w:p>
        </w:tc>
        <w:tc>
          <w:tcPr>
            <w:tcW w:w="2082" w:type="dxa"/>
            <w:vMerge w:val="restart"/>
          </w:tcPr>
          <w:p w14:paraId="569476C9"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0</w:t>
            </w:r>
          </w:p>
        </w:tc>
        <w:tc>
          <w:tcPr>
            <w:tcW w:w="2082" w:type="dxa"/>
            <w:tcMar>
              <w:top w:w="43" w:type="dxa"/>
              <w:left w:w="115" w:type="dxa"/>
              <w:bottom w:w="43" w:type="dxa"/>
              <w:right w:w="115" w:type="dxa"/>
            </w:tcMar>
          </w:tcPr>
          <w:p w14:paraId="189DE134"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High-touch (3)</w:t>
            </w:r>
          </w:p>
        </w:tc>
        <w:tc>
          <w:tcPr>
            <w:tcW w:w="2083" w:type="dxa"/>
            <w:tcMar>
              <w:top w:w="43" w:type="dxa"/>
              <w:left w:w="115" w:type="dxa"/>
              <w:bottom w:w="43" w:type="dxa"/>
              <w:right w:w="115" w:type="dxa"/>
            </w:tcMar>
          </w:tcPr>
          <w:p w14:paraId="7BD535BE"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5</w:t>
            </w:r>
          </w:p>
        </w:tc>
      </w:tr>
      <w:tr w:rsidR="00207365" w:rsidRPr="001740A7" w14:paraId="578EA7CA" w14:textId="77777777" w:rsidTr="00207365">
        <w:trPr>
          <w:cantSplit/>
          <w:trHeight w:val="270"/>
        </w:trPr>
        <w:tc>
          <w:tcPr>
            <w:tcW w:w="2082" w:type="dxa"/>
            <w:vMerge/>
            <w:tcMar>
              <w:top w:w="43" w:type="dxa"/>
              <w:left w:w="115" w:type="dxa"/>
              <w:bottom w:w="43" w:type="dxa"/>
              <w:right w:w="115" w:type="dxa"/>
            </w:tcMar>
          </w:tcPr>
          <w:p w14:paraId="4F9589F4" w14:textId="77777777" w:rsidR="00207365" w:rsidRPr="001740A7" w:rsidRDefault="00207365" w:rsidP="00207365">
            <w:pPr>
              <w:pStyle w:val="xmsonormal"/>
              <w:widowControl w:val="0"/>
              <w:spacing w:before="0" w:beforeAutospacing="0" w:after="0" w:afterAutospacing="0"/>
              <w:contextualSpacing/>
              <w:rPr>
                <w:rFonts w:ascii="Arial" w:hAnsi="Arial" w:cs="Arial"/>
                <w:color w:val="212121"/>
                <w:sz w:val="22"/>
                <w:szCs w:val="22"/>
                <w:lang w:val="en-US"/>
              </w:rPr>
            </w:pPr>
          </w:p>
        </w:tc>
        <w:tc>
          <w:tcPr>
            <w:tcW w:w="2082" w:type="dxa"/>
            <w:vMerge/>
            <w:tcMar>
              <w:top w:w="43" w:type="dxa"/>
              <w:left w:w="115" w:type="dxa"/>
              <w:bottom w:w="43" w:type="dxa"/>
              <w:right w:w="115" w:type="dxa"/>
            </w:tcMar>
          </w:tcPr>
          <w:p w14:paraId="36DA351A"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p>
        </w:tc>
        <w:tc>
          <w:tcPr>
            <w:tcW w:w="2082" w:type="dxa"/>
            <w:vMerge/>
          </w:tcPr>
          <w:p w14:paraId="6C33E9A7"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p>
        </w:tc>
        <w:tc>
          <w:tcPr>
            <w:tcW w:w="2082" w:type="dxa"/>
            <w:tcMar>
              <w:top w:w="43" w:type="dxa"/>
              <w:left w:w="115" w:type="dxa"/>
              <w:bottom w:w="43" w:type="dxa"/>
              <w:right w:w="115" w:type="dxa"/>
            </w:tcMar>
          </w:tcPr>
          <w:p w14:paraId="1E97A940"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Low-touch (1)</w:t>
            </w:r>
          </w:p>
        </w:tc>
        <w:tc>
          <w:tcPr>
            <w:tcW w:w="2083" w:type="dxa"/>
            <w:tcMar>
              <w:top w:w="43" w:type="dxa"/>
              <w:left w:w="115" w:type="dxa"/>
              <w:bottom w:w="43" w:type="dxa"/>
              <w:right w:w="115" w:type="dxa"/>
            </w:tcMar>
          </w:tcPr>
          <w:p w14:paraId="3B44C036"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3</w:t>
            </w:r>
          </w:p>
        </w:tc>
      </w:tr>
      <w:tr w:rsidR="00207365" w:rsidRPr="001740A7" w14:paraId="3601B3ED" w14:textId="77777777" w:rsidTr="00207365">
        <w:trPr>
          <w:cantSplit/>
          <w:trHeight w:val="270"/>
        </w:trPr>
        <w:tc>
          <w:tcPr>
            <w:tcW w:w="2082" w:type="dxa"/>
            <w:vMerge w:val="restart"/>
            <w:tcMar>
              <w:top w:w="43" w:type="dxa"/>
              <w:left w:w="115" w:type="dxa"/>
              <w:bottom w:w="43" w:type="dxa"/>
              <w:right w:w="115" w:type="dxa"/>
            </w:tcMar>
          </w:tcPr>
          <w:p w14:paraId="16C7D7DD" w14:textId="77777777" w:rsidR="00207365" w:rsidRPr="001740A7" w:rsidRDefault="00207365" w:rsidP="00207365">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color w:val="212121"/>
                <w:sz w:val="22"/>
                <w:szCs w:val="22"/>
                <w:lang w:val="en-US"/>
              </w:rPr>
              <w:t>Intensive Care Unit</w:t>
            </w:r>
          </w:p>
          <w:p w14:paraId="0BB0E6D8" w14:textId="77777777" w:rsidR="00207365" w:rsidRPr="001740A7" w:rsidRDefault="00207365" w:rsidP="00207365">
            <w:pPr>
              <w:pStyle w:val="xmsonormal"/>
              <w:widowControl w:val="0"/>
              <w:spacing w:before="0" w:beforeAutospacing="0" w:after="0" w:afterAutospacing="0"/>
              <w:contextualSpacing/>
              <w:rPr>
                <w:rFonts w:ascii="Arial" w:hAnsi="Arial" w:cs="Arial"/>
                <w:color w:val="212121"/>
                <w:sz w:val="22"/>
                <w:szCs w:val="22"/>
                <w:lang w:val="en-US"/>
              </w:rPr>
            </w:pPr>
          </w:p>
        </w:tc>
        <w:tc>
          <w:tcPr>
            <w:tcW w:w="2082" w:type="dxa"/>
            <w:vMerge w:val="restart"/>
            <w:tcMar>
              <w:top w:w="43" w:type="dxa"/>
              <w:left w:w="115" w:type="dxa"/>
              <w:bottom w:w="43" w:type="dxa"/>
              <w:right w:w="115" w:type="dxa"/>
            </w:tcMar>
          </w:tcPr>
          <w:p w14:paraId="1C94B0BB" w14:textId="77777777" w:rsidR="00207365" w:rsidRPr="001740A7" w:rsidRDefault="00021BA2"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2</w:t>
            </w:r>
          </w:p>
        </w:tc>
        <w:tc>
          <w:tcPr>
            <w:tcW w:w="2082" w:type="dxa"/>
            <w:vMerge w:val="restart"/>
          </w:tcPr>
          <w:p w14:paraId="0F4CBB9F" w14:textId="77777777" w:rsidR="00207365" w:rsidRPr="001740A7" w:rsidRDefault="00021BA2"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1</w:t>
            </w:r>
          </w:p>
        </w:tc>
        <w:tc>
          <w:tcPr>
            <w:tcW w:w="2082" w:type="dxa"/>
            <w:tcMar>
              <w:top w:w="43" w:type="dxa"/>
              <w:left w:w="115" w:type="dxa"/>
              <w:bottom w:w="43" w:type="dxa"/>
              <w:right w:w="115" w:type="dxa"/>
            </w:tcMar>
          </w:tcPr>
          <w:p w14:paraId="0DC67365"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High-touch (3)</w:t>
            </w:r>
          </w:p>
        </w:tc>
        <w:tc>
          <w:tcPr>
            <w:tcW w:w="2083" w:type="dxa"/>
            <w:tcMar>
              <w:top w:w="43" w:type="dxa"/>
              <w:left w:w="115" w:type="dxa"/>
              <w:bottom w:w="43" w:type="dxa"/>
              <w:right w:w="115" w:type="dxa"/>
            </w:tcMar>
          </w:tcPr>
          <w:p w14:paraId="114598C0" w14:textId="77777777" w:rsidR="00207365" w:rsidRPr="001740A7" w:rsidRDefault="00021BA2"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6</w:t>
            </w:r>
          </w:p>
        </w:tc>
      </w:tr>
      <w:tr w:rsidR="00207365" w:rsidRPr="001740A7" w14:paraId="6F55CCAC" w14:textId="77777777" w:rsidTr="00207365">
        <w:trPr>
          <w:cantSplit/>
          <w:trHeight w:val="270"/>
        </w:trPr>
        <w:tc>
          <w:tcPr>
            <w:tcW w:w="2082" w:type="dxa"/>
            <w:vMerge/>
            <w:tcMar>
              <w:top w:w="43" w:type="dxa"/>
              <w:left w:w="115" w:type="dxa"/>
              <w:bottom w:w="43" w:type="dxa"/>
              <w:right w:w="115" w:type="dxa"/>
            </w:tcMar>
          </w:tcPr>
          <w:p w14:paraId="7A604B15" w14:textId="77777777" w:rsidR="00207365" w:rsidRPr="001740A7" w:rsidRDefault="00207365" w:rsidP="00207365">
            <w:pPr>
              <w:pStyle w:val="xmsonormal"/>
              <w:widowControl w:val="0"/>
              <w:spacing w:before="0" w:beforeAutospacing="0" w:after="0" w:afterAutospacing="0"/>
              <w:contextualSpacing/>
              <w:rPr>
                <w:rFonts w:ascii="Arial" w:hAnsi="Arial" w:cs="Arial"/>
                <w:color w:val="212121"/>
                <w:sz w:val="22"/>
                <w:szCs w:val="22"/>
                <w:lang w:val="en-US"/>
              </w:rPr>
            </w:pPr>
          </w:p>
        </w:tc>
        <w:tc>
          <w:tcPr>
            <w:tcW w:w="2082" w:type="dxa"/>
            <w:vMerge/>
            <w:tcMar>
              <w:top w:w="43" w:type="dxa"/>
              <w:left w:w="115" w:type="dxa"/>
              <w:bottom w:w="43" w:type="dxa"/>
              <w:right w:w="115" w:type="dxa"/>
            </w:tcMar>
          </w:tcPr>
          <w:p w14:paraId="5B2D697A"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p>
        </w:tc>
        <w:tc>
          <w:tcPr>
            <w:tcW w:w="2082" w:type="dxa"/>
            <w:vMerge/>
          </w:tcPr>
          <w:p w14:paraId="7834491B"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p>
        </w:tc>
        <w:tc>
          <w:tcPr>
            <w:tcW w:w="2082" w:type="dxa"/>
            <w:tcMar>
              <w:top w:w="43" w:type="dxa"/>
              <w:left w:w="115" w:type="dxa"/>
              <w:bottom w:w="43" w:type="dxa"/>
              <w:right w:w="115" w:type="dxa"/>
            </w:tcMar>
          </w:tcPr>
          <w:p w14:paraId="08E57E35" w14:textId="77777777" w:rsidR="00207365" w:rsidRPr="001740A7" w:rsidRDefault="00207365"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Low-touch (1)</w:t>
            </w:r>
          </w:p>
        </w:tc>
        <w:tc>
          <w:tcPr>
            <w:tcW w:w="2083" w:type="dxa"/>
            <w:tcMar>
              <w:top w:w="43" w:type="dxa"/>
              <w:left w:w="115" w:type="dxa"/>
              <w:bottom w:w="43" w:type="dxa"/>
              <w:right w:w="115" w:type="dxa"/>
            </w:tcMar>
          </w:tcPr>
          <w:p w14:paraId="67277238" w14:textId="77777777" w:rsidR="00207365" w:rsidRPr="001740A7" w:rsidRDefault="00021BA2" w:rsidP="00207365">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4</w:t>
            </w:r>
          </w:p>
        </w:tc>
      </w:tr>
      <w:tr w:rsidR="00693161" w:rsidRPr="001740A7" w14:paraId="235C076D" w14:textId="77777777" w:rsidTr="00693161">
        <w:trPr>
          <w:cantSplit/>
          <w:trHeight w:val="135"/>
        </w:trPr>
        <w:tc>
          <w:tcPr>
            <w:tcW w:w="2082" w:type="dxa"/>
            <w:vMerge w:val="restart"/>
            <w:tcMar>
              <w:top w:w="43" w:type="dxa"/>
              <w:left w:w="115" w:type="dxa"/>
              <w:bottom w:w="43" w:type="dxa"/>
              <w:right w:w="115" w:type="dxa"/>
            </w:tcMar>
          </w:tcPr>
          <w:p w14:paraId="4999C5C4" w14:textId="77777777" w:rsidR="00693161" w:rsidRPr="001740A7" w:rsidRDefault="00693161" w:rsidP="00693161">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color w:val="212121"/>
                <w:sz w:val="22"/>
                <w:szCs w:val="22"/>
                <w:lang w:val="en-US"/>
              </w:rPr>
              <w:t>Contact Precautions (</w:t>
            </w:r>
            <w:r w:rsidRPr="001740A7">
              <w:rPr>
                <w:rFonts w:ascii="Arial" w:hAnsi="Arial" w:cs="Arial"/>
                <w:i/>
                <w:iCs/>
                <w:color w:val="212121"/>
                <w:sz w:val="22"/>
                <w:szCs w:val="22"/>
                <w:lang w:val="en-US"/>
              </w:rPr>
              <w:t xml:space="preserve">C </w:t>
            </w:r>
            <w:proofErr w:type="spellStart"/>
            <w:r w:rsidRPr="001740A7">
              <w:rPr>
                <w:rFonts w:ascii="Arial" w:hAnsi="Arial" w:cs="Arial"/>
                <w:i/>
                <w:iCs/>
                <w:color w:val="212121"/>
                <w:sz w:val="22"/>
                <w:szCs w:val="22"/>
                <w:lang w:val="en-US"/>
              </w:rPr>
              <w:t>auris</w:t>
            </w:r>
            <w:proofErr w:type="spellEnd"/>
            <w:r w:rsidRPr="001740A7">
              <w:rPr>
                <w:rFonts w:ascii="Arial" w:hAnsi="Arial" w:cs="Arial"/>
                <w:i/>
                <w:iCs/>
                <w:color w:val="212121"/>
                <w:sz w:val="22"/>
                <w:szCs w:val="22"/>
                <w:lang w:val="en-US"/>
              </w:rPr>
              <w:t>, Acinetobacter</w:t>
            </w:r>
            <w:r w:rsidRPr="001740A7">
              <w:rPr>
                <w:rFonts w:ascii="Arial" w:hAnsi="Arial" w:cs="Arial"/>
                <w:color w:val="212121"/>
                <w:sz w:val="22"/>
                <w:szCs w:val="22"/>
                <w:lang w:val="en-US"/>
              </w:rPr>
              <w:t>)</w:t>
            </w:r>
          </w:p>
        </w:tc>
        <w:tc>
          <w:tcPr>
            <w:tcW w:w="2082" w:type="dxa"/>
            <w:vMerge w:val="restart"/>
            <w:tcMar>
              <w:top w:w="43" w:type="dxa"/>
              <w:left w:w="115" w:type="dxa"/>
              <w:bottom w:w="43" w:type="dxa"/>
              <w:right w:w="115" w:type="dxa"/>
            </w:tcMar>
          </w:tcPr>
          <w:p w14:paraId="2B44BD9B"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2-3</w:t>
            </w:r>
          </w:p>
        </w:tc>
        <w:tc>
          <w:tcPr>
            <w:tcW w:w="2082" w:type="dxa"/>
            <w:vMerge w:val="restart"/>
          </w:tcPr>
          <w:p w14:paraId="072AAF24"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1</w:t>
            </w:r>
          </w:p>
        </w:tc>
        <w:tc>
          <w:tcPr>
            <w:tcW w:w="2082" w:type="dxa"/>
            <w:tcMar>
              <w:top w:w="43" w:type="dxa"/>
              <w:left w:w="115" w:type="dxa"/>
              <w:bottom w:w="43" w:type="dxa"/>
              <w:right w:w="115" w:type="dxa"/>
            </w:tcMar>
          </w:tcPr>
          <w:p w14:paraId="0B8DA4AA"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High-touch (3)</w:t>
            </w:r>
          </w:p>
        </w:tc>
        <w:tc>
          <w:tcPr>
            <w:tcW w:w="2083" w:type="dxa"/>
            <w:tcMar>
              <w:top w:w="43" w:type="dxa"/>
              <w:left w:w="115" w:type="dxa"/>
              <w:bottom w:w="43" w:type="dxa"/>
              <w:right w:w="115" w:type="dxa"/>
            </w:tcMar>
          </w:tcPr>
          <w:p w14:paraId="53F2C428"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6</w:t>
            </w:r>
          </w:p>
        </w:tc>
      </w:tr>
      <w:tr w:rsidR="00693161" w:rsidRPr="001740A7" w14:paraId="4FDEE354" w14:textId="77777777" w:rsidTr="00207365">
        <w:trPr>
          <w:cantSplit/>
          <w:trHeight w:val="135"/>
        </w:trPr>
        <w:tc>
          <w:tcPr>
            <w:tcW w:w="2082" w:type="dxa"/>
            <w:vMerge/>
            <w:tcMar>
              <w:top w:w="43" w:type="dxa"/>
              <w:left w:w="115" w:type="dxa"/>
              <w:bottom w:w="43" w:type="dxa"/>
              <w:right w:w="115" w:type="dxa"/>
            </w:tcMar>
          </w:tcPr>
          <w:p w14:paraId="1C95B2B9" w14:textId="77777777" w:rsidR="00693161" w:rsidRPr="001740A7" w:rsidRDefault="00693161" w:rsidP="00693161">
            <w:pPr>
              <w:pStyle w:val="xmsonormal"/>
              <w:widowControl w:val="0"/>
              <w:spacing w:before="0" w:beforeAutospacing="0" w:after="0" w:afterAutospacing="0"/>
              <w:contextualSpacing/>
              <w:rPr>
                <w:rFonts w:ascii="Arial" w:hAnsi="Arial" w:cs="Arial"/>
                <w:color w:val="212121"/>
                <w:sz w:val="22"/>
                <w:szCs w:val="22"/>
                <w:lang w:val="en-US"/>
              </w:rPr>
            </w:pPr>
          </w:p>
        </w:tc>
        <w:tc>
          <w:tcPr>
            <w:tcW w:w="2082" w:type="dxa"/>
            <w:vMerge/>
            <w:tcMar>
              <w:top w:w="43" w:type="dxa"/>
              <w:left w:w="115" w:type="dxa"/>
              <w:bottom w:w="43" w:type="dxa"/>
              <w:right w:w="115" w:type="dxa"/>
            </w:tcMar>
          </w:tcPr>
          <w:p w14:paraId="35F619AE"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p>
        </w:tc>
        <w:tc>
          <w:tcPr>
            <w:tcW w:w="2082" w:type="dxa"/>
            <w:vMerge/>
          </w:tcPr>
          <w:p w14:paraId="3D440413"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p>
        </w:tc>
        <w:tc>
          <w:tcPr>
            <w:tcW w:w="2082" w:type="dxa"/>
            <w:tcMar>
              <w:top w:w="43" w:type="dxa"/>
              <w:left w:w="115" w:type="dxa"/>
              <w:bottom w:w="43" w:type="dxa"/>
              <w:right w:w="115" w:type="dxa"/>
            </w:tcMar>
          </w:tcPr>
          <w:p w14:paraId="755D1AE6"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Low-touch (1)</w:t>
            </w:r>
          </w:p>
        </w:tc>
        <w:tc>
          <w:tcPr>
            <w:tcW w:w="2083" w:type="dxa"/>
            <w:tcMar>
              <w:top w:w="43" w:type="dxa"/>
              <w:left w:w="115" w:type="dxa"/>
              <w:bottom w:w="43" w:type="dxa"/>
              <w:right w:w="115" w:type="dxa"/>
            </w:tcMar>
          </w:tcPr>
          <w:p w14:paraId="0FDDED22"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4-5</w:t>
            </w:r>
          </w:p>
        </w:tc>
      </w:tr>
      <w:tr w:rsidR="00693161" w:rsidRPr="001740A7" w14:paraId="47089DDC" w14:textId="77777777" w:rsidTr="00693161">
        <w:trPr>
          <w:cantSplit/>
          <w:trHeight w:val="135"/>
        </w:trPr>
        <w:tc>
          <w:tcPr>
            <w:tcW w:w="2082" w:type="dxa"/>
            <w:vMerge w:val="restart"/>
            <w:tcMar>
              <w:top w:w="43" w:type="dxa"/>
              <w:left w:w="115" w:type="dxa"/>
              <w:bottom w:w="43" w:type="dxa"/>
              <w:right w:w="115" w:type="dxa"/>
            </w:tcMar>
          </w:tcPr>
          <w:p w14:paraId="34C3ED46" w14:textId="77777777" w:rsidR="00693161" w:rsidRPr="001740A7" w:rsidRDefault="00693161" w:rsidP="00693161">
            <w:pPr>
              <w:pStyle w:val="xmsonormal"/>
              <w:widowControl w:val="0"/>
              <w:spacing w:before="0" w:beforeAutospacing="0" w:after="0" w:afterAutospacing="0"/>
              <w:contextualSpacing/>
              <w:rPr>
                <w:rFonts w:ascii="Arial" w:hAnsi="Arial" w:cs="Arial"/>
                <w:color w:val="212121"/>
                <w:sz w:val="22"/>
                <w:szCs w:val="22"/>
                <w:lang w:val="en-US"/>
              </w:rPr>
            </w:pPr>
            <w:r w:rsidRPr="001740A7">
              <w:rPr>
                <w:rFonts w:ascii="Arial" w:hAnsi="Arial" w:cs="Arial"/>
                <w:color w:val="212121"/>
                <w:sz w:val="22"/>
                <w:szCs w:val="22"/>
                <w:lang w:val="en-US"/>
              </w:rPr>
              <w:t>Contact/Droplet/Airborne (?) Precautions (Coronavirus)</w:t>
            </w:r>
          </w:p>
        </w:tc>
        <w:tc>
          <w:tcPr>
            <w:tcW w:w="2082" w:type="dxa"/>
            <w:vMerge w:val="restart"/>
            <w:tcMar>
              <w:top w:w="43" w:type="dxa"/>
              <w:left w:w="115" w:type="dxa"/>
              <w:bottom w:w="43" w:type="dxa"/>
              <w:right w:w="115" w:type="dxa"/>
            </w:tcMar>
          </w:tcPr>
          <w:p w14:paraId="5B727583"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2-3</w:t>
            </w:r>
          </w:p>
        </w:tc>
        <w:tc>
          <w:tcPr>
            <w:tcW w:w="2082" w:type="dxa"/>
            <w:vMerge w:val="restart"/>
          </w:tcPr>
          <w:p w14:paraId="51130FAF"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1</w:t>
            </w:r>
          </w:p>
        </w:tc>
        <w:tc>
          <w:tcPr>
            <w:tcW w:w="2082" w:type="dxa"/>
            <w:tcMar>
              <w:top w:w="43" w:type="dxa"/>
              <w:left w:w="115" w:type="dxa"/>
              <w:bottom w:w="43" w:type="dxa"/>
              <w:right w:w="115" w:type="dxa"/>
            </w:tcMar>
          </w:tcPr>
          <w:p w14:paraId="634D9865"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High-touch (3)</w:t>
            </w:r>
          </w:p>
        </w:tc>
        <w:tc>
          <w:tcPr>
            <w:tcW w:w="2083" w:type="dxa"/>
            <w:tcMar>
              <w:top w:w="43" w:type="dxa"/>
              <w:left w:w="115" w:type="dxa"/>
              <w:bottom w:w="43" w:type="dxa"/>
              <w:right w:w="115" w:type="dxa"/>
            </w:tcMar>
          </w:tcPr>
          <w:p w14:paraId="32DC4324"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6-7</w:t>
            </w:r>
          </w:p>
        </w:tc>
      </w:tr>
      <w:tr w:rsidR="00693161" w:rsidRPr="001740A7" w14:paraId="33272C91" w14:textId="77777777" w:rsidTr="00207365">
        <w:trPr>
          <w:cantSplit/>
          <w:trHeight w:val="135"/>
        </w:trPr>
        <w:tc>
          <w:tcPr>
            <w:tcW w:w="2082" w:type="dxa"/>
            <w:vMerge/>
            <w:tcMar>
              <w:top w:w="43" w:type="dxa"/>
              <w:left w:w="115" w:type="dxa"/>
              <w:bottom w:w="43" w:type="dxa"/>
              <w:right w:w="115" w:type="dxa"/>
            </w:tcMar>
          </w:tcPr>
          <w:p w14:paraId="309CDC56" w14:textId="77777777" w:rsidR="00693161" w:rsidRPr="001740A7" w:rsidRDefault="00693161" w:rsidP="00693161">
            <w:pPr>
              <w:pStyle w:val="xmsonormal"/>
              <w:widowControl w:val="0"/>
              <w:spacing w:before="0" w:beforeAutospacing="0" w:after="0" w:afterAutospacing="0"/>
              <w:contextualSpacing/>
              <w:rPr>
                <w:rFonts w:ascii="Arial" w:hAnsi="Arial" w:cs="Arial"/>
                <w:color w:val="212121"/>
                <w:sz w:val="22"/>
                <w:szCs w:val="22"/>
                <w:lang w:val="en-US"/>
              </w:rPr>
            </w:pPr>
          </w:p>
        </w:tc>
        <w:tc>
          <w:tcPr>
            <w:tcW w:w="2082" w:type="dxa"/>
            <w:vMerge/>
            <w:tcMar>
              <w:top w:w="43" w:type="dxa"/>
              <w:left w:w="115" w:type="dxa"/>
              <w:bottom w:w="43" w:type="dxa"/>
              <w:right w:w="115" w:type="dxa"/>
            </w:tcMar>
          </w:tcPr>
          <w:p w14:paraId="0CBD99CD"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p>
        </w:tc>
        <w:tc>
          <w:tcPr>
            <w:tcW w:w="2082" w:type="dxa"/>
            <w:vMerge/>
          </w:tcPr>
          <w:p w14:paraId="60C1F6AE"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p>
        </w:tc>
        <w:tc>
          <w:tcPr>
            <w:tcW w:w="2082" w:type="dxa"/>
            <w:tcMar>
              <w:top w:w="43" w:type="dxa"/>
              <w:left w:w="115" w:type="dxa"/>
              <w:bottom w:w="43" w:type="dxa"/>
              <w:right w:w="115" w:type="dxa"/>
            </w:tcMar>
          </w:tcPr>
          <w:p w14:paraId="0C216DAC"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Low-touch (1)</w:t>
            </w:r>
          </w:p>
        </w:tc>
        <w:tc>
          <w:tcPr>
            <w:tcW w:w="2083" w:type="dxa"/>
            <w:tcMar>
              <w:top w:w="43" w:type="dxa"/>
              <w:left w:w="115" w:type="dxa"/>
              <w:bottom w:w="43" w:type="dxa"/>
              <w:right w:w="115" w:type="dxa"/>
            </w:tcMar>
          </w:tcPr>
          <w:p w14:paraId="797907A5" w14:textId="77777777" w:rsidR="00693161" w:rsidRPr="001740A7" w:rsidRDefault="00693161" w:rsidP="00693161">
            <w:pPr>
              <w:pStyle w:val="xmsonormal"/>
              <w:widowControl w:val="0"/>
              <w:spacing w:before="0" w:beforeAutospacing="0" w:after="0" w:afterAutospacing="0"/>
              <w:contextualSpacing/>
              <w:jc w:val="center"/>
              <w:rPr>
                <w:rFonts w:ascii="Arial" w:hAnsi="Arial" w:cs="Arial"/>
                <w:sz w:val="22"/>
                <w:szCs w:val="22"/>
              </w:rPr>
            </w:pPr>
            <w:r w:rsidRPr="001740A7">
              <w:rPr>
                <w:rFonts w:ascii="Arial" w:hAnsi="Arial" w:cs="Arial"/>
                <w:sz w:val="22"/>
                <w:szCs w:val="22"/>
              </w:rPr>
              <w:t>4-5</w:t>
            </w:r>
          </w:p>
        </w:tc>
      </w:tr>
    </w:tbl>
    <w:p w14:paraId="00E5989C" w14:textId="77777777" w:rsidR="00F524A2" w:rsidRPr="001740A7" w:rsidRDefault="00F524A2">
      <w:pPr>
        <w:rPr>
          <w:rFonts w:ascii="Arial" w:hAnsi="Arial" w:cs="Arial"/>
        </w:rPr>
      </w:pPr>
    </w:p>
    <w:sectPr w:rsidR="00F524A2" w:rsidRPr="001740A7" w:rsidSect="00D26908">
      <w:footerReference w:type="even" r:id="rId6"/>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64379" w14:textId="77777777" w:rsidR="00871166" w:rsidRDefault="00871166" w:rsidP="002D625D">
      <w:pPr>
        <w:spacing w:after="0" w:line="240" w:lineRule="auto"/>
      </w:pPr>
      <w:r>
        <w:separator/>
      </w:r>
    </w:p>
  </w:endnote>
  <w:endnote w:type="continuationSeparator" w:id="0">
    <w:p w14:paraId="0B489168" w14:textId="77777777" w:rsidR="00871166" w:rsidRDefault="00871166" w:rsidP="002D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9778336"/>
      <w:docPartObj>
        <w:docPartGallery w:val="Page Numbers (Bottom of Page)"/>
        <w:docPartUnique/>
      </w:docPartObj>
    </w:sdtPr>
    <w:sdtEndPr>
      <w:rPr>
        <w:rStyle w:val="PageNumber"/>
      </w:rPr>
    </w:sdtEndPr>
    <w:sdtContent>
      <w:p w14:paraId="0FA4154F" w14:textId="2E08AC6F" w:rsidR="002D625D" w:rsidRDefault="002D625D" w:rsidP="00A90B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CB0C50" w14:textId="77777777" w:rsidR="002D625D" w:rsidRDefault="002D625D" w:rsidP="002D62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3355063"/>
      <w:docPartObj>
        <w:docPartGallery w:val="Page Numbers (Bottom of Page)"/>
        <w:docPartUnique/>
      </w:docPartObj>
    </w:sdtPr>
    <w:sdtEndPr>
      <w:rPr>
        <w:rStyle w:val="PageNumber"/>
      </w:rPr>
    </w:sdtEndPr>
    <w:sdtContent>
      <w:p w14:paraId="6F6DD2E0" w14:textId="05C49E9C" w:rsidR="002D625D" w:rsidRDefault="002D625D" w:rsidP="00A90B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3633CB" w14:textId="77777777" w:rsidR="002D625D" w:rsidRDefault="002D625D" w:rsidP="002D62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11DF7" w14:textId="77777777" w:rsidR="00871166" w:rsidRDefault="00871166" w:rsidP="002D625D">
      <w:pPr>
        <w:spacing w:after="0" w:line="240" w:lineRule="auto"/>
      </w:pPr>
      <w:r>
        <w:separator/>
      </w:r>
    </w:p>
  </w:footnote>
  <w:footnote w:type="continuationSeparator" w:id="0">
    <w:p w14:paraId="1E8F050E" w14:textId="77777777" w:rsidR="00871166" w:rsidRDefault="00871166" w:rsidP="002D62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8D"/>
    <w:rsid w:val="00021BA2"/>
    <w:rsid w:val="001740A7"/>
    <w:rsid w:val="00207365"/>
    <w:rsid w:val="002D625D"/>
    <w:rsid w:val="00693161"/>
    <w:rsid w:val="0076627E"/>
    <w:rsid w:val="00871166"/>
    <w:rsid w:val="00931B32"/>
    <w:rsid w:val="00A31849"/>
    <w:rsid w:val="00A6168D"/>
    <w:rsid w:val="00D26908"/>
    <w:rsid w:val="00D3272C"/>
    <w:rsid w:val="00F524A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24B4"/>
  <w15:chartTrackingRefBased/>
  <w15:docId w15:val="{FBD04734-C6C3-42D0-8BA9-D7AD31E5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68D"/>
    <w:rPr>
      <w:rFonts w:ascii="Calibri" w:eastAsia="Calibri" w:hAnsi="Calibri" w:cs="Times New Roman"/>
    </w:rPr>
  </w:style>
  <w:style w:type="paragraph" w:styleId="Heading1">
    <w:name w:val="heading 1"/>
    <w:basedOn w:val="Normal"/>
    <w:next w:val="Normal"/>
    <w:link w:val="Heading1Char"/>
    <w:uiPriority w:val="9"/>
    <w:qFormat/>
    <w:rsid w:val="00A6168D"/>
    <w:pPr>
      <w:widowControl w:val="0"/>
      <w:ind w:right="1620"/>
      <w:outlineLvl w:val="0"/>
    </w:pPr>
    <w:rPr>
      <w:rFonts w:ascii="Trebuchet MS" w:eastAsia="Times New Roman" w:hAnsi="Trebuchet MS"/>
      <w:b/>
      <w:sz w:val="28"/>
      <w:szCs w:val="28"/>
    </w:rPr>
  </w:style>
  <w:style w:type="paragraph" w:styleId="Heading2">
    <w:name w:val="heading 2"/>
    <w:next w:val="Normal"/>
    <w:link w:val="Heading2Char"/>
    <w:uiPriority w:val="9"/>
    <w:unhideWhenUsed/>
    <w:qFormat/>
    <w:rsid w:val="00A6168D"/>
    <w:pPr>
      <w:outlineLvl w:val="1"/>
    </w:pPr>
    <w:rPr>
      <w:rFonts w:ascii="Trebuchet MS" w:eastAsia="Times New Roman" w:hAnsi="Trebuchet MS" w:cs="Times New Roman"/>
      <w:b/>
      <w:sz w:val="24"/>
      <w:szCs w:val="32"/>
    </w:rPr>
  </w:style>
  <w:style w:type="paragraph" w:styleId="Heading3">
    <w:name w:val="heading 3"/>
    <w:basedOn w:val="Normal"/>
    <w:next w:val="Normal"/>
    <w:link w:val="Heading3Char"/>
    <w:uiPriority w:val="9"/>
    <w:unhideWhenUsed/>
    <w:qFormat/>
    <w:rsid w:val="00A6168D"/>
    <w:pPr>
      <w:keepNext/>
      <w:keepLines/>
      <w:spacing w:before="40" w:after="0"/>
      <w:outlineLvl w:val="2"/>
    </w:pPr>
    <w:rPr>
      <w:rFonts w:ascii="Calibri Light" w:eastAsia="Times New Roman" w:hAnsi="Calibri Light"/>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68D"/>
    <w:rPr>
      <w:rFonts w:ascii="Trebuchet MS" w:eastAsia="Times New Roman" w:hAnsi="Trebuchet MS" w:cs="Times New Roman"/>
      <w:b/>
      <w:sz w:val="28"/>
      <w:szCs w:val="28"/>
    </w:rPr>
  </w:style>
  <w:style w:type="character" w:customStyle="1" w:styleId="Heading2Char">
    <w:name w:val="Heading 2 Char"/>
    <w:basedOn w:val="DefaultParagraphFont"/>
    <w:link w:val="Heading2"/>
    <w:uiPriority w:val="9"/>
    <w:rsid w:val="00A6168D"/>
    <w:rPr>
      <w:rFonts w:ascii="Trebuchet MS" w:eastAsia="Times New Roman" w:hAnsi="Trebuchet MS" w:cs="Times New Roman"/>
      <w:b/>
      <w:sz w:val="24"/>
      <w:szCs w:val="32"/>
    </w:rPr>
  </w:style>
  <w:style w:type="character" w:customStyle="1" w:styleId="Heading3Char">
    <w:name w:val="Heading 3 Char"/>
    <w:basedOn w:val="DefaultParagraphFont"/>
    <w:link w:val="Heading3"/>
    <w:uiPriority w:val="9"/>
    <w:rsid w:val="00A6168D"/>
    <w:rPr>
      <w:rFonts w:ascii="Calibri Light" w:eastAsia="Times New Roman" w:hAnsi="Calibri Light" w:cs="Times New Roman"/>
      <w:b/>
      <w:sz w:val="24"/>
      <w:szCs w:val="24"/>
    </w:rPr>
  </w:style>
  <w:style w:type="paragraph" w:customStyle="1" w:styleId="xmsonormal">
    <w:name w:val="x_msonormal"/>
    <w:basedOn w:val="Normal"/>
    <w:rsid w:val="00A6168D"/>
    <w:pPr>
      <w:spacing w:before="100" w:beforeAutospacing="1" w:after="100" w:afterAutospacing="1" w:line="240" w:lineRule="auto"/>
    </w:pPr>
    <w:rPr>
      <w:rFonts w:ascii="Times New Roman" w:eastAsia="Times New Roman" w:hAnsi="Times New Roman"/>
      <w:sz w:val="20"/>
      <w:szCs w:val="20"/>
      <w:lang w:val="en-GB"/>
    </w:rPr>
  </w:style>
  <w:style w:type="paragraph" w:styleId="BalloonText">
    <w:name w:val="Balloon Text"/>
    <w:basedOn w:val="Normal"/>
    <w:link w:val="BalloonTextChar"/>
    <w:uiPriority w:val="99"/>
    <w:semiHidden/>
    <w:unhideWhenUsed/>
    <w:rsid w:val="00F52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4A2"/>
    <w:rPr>
      <w:rFonts w:ascii="Segoe UI" w:eastAsia="Calibri" w:hAnsi="Segoe UI" w:cs="Segoe UI"/>
      <w:sz w:val="18"/>
      <w:szCs w:val="18"/>
    </w:rPr>
  </w:style>
  <w:style w:type="paragraph" w:styleId="Footer">
    <w:name w:val="footer"/>
    <w:basedOn w:val="Normal"/>
    <w:link w:val="FooterChar"/>
    <w:uiPriority w:val="99"/>
    <w:unhideWhenUsed/>
    <w:rsid w:val="002D6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25D"/>
    <w:rPr>
      <w:rFonts w:ascii="Calibri" w:eastAsia="Calibri" w:hAnsi="Calibri" w:cs="Times New Roman"/>
    </w:rPr>
  </w:style>
  <w:style w:type="character" w:styleId="PageNumber">
    <w:name w:val="page number"/>
    <w:basedOn w:val="DefaultParagraphFont"/>
    <w:uiPriority w:val="99"/>
    <w:semiHidden/>
    <w:unhideWhenUsed/>
    <w:rsid w:val="002D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08838">
      <w:bodyDiv w:val="1"/>
      <w:marLeft w:val="0"/>
      <w:marRight w:val="0"/>
      <w:marTop w:val="0"/>
      <w:marBottom w:val="0"/>
      <w:divBdr>
        <w:top w:val="none" w:sz="0" w:space="0" w:color="auto"/>
        <w:left w:val="none" w:sz="0" w:space="0" w:color="auto"/>
        <w:bottom w:val="none" w:sz="0" w:space="0" w:color="auto"/>
        <w:right w:val="none" w:sz="0" w:space="0" w:color="auto"/>
      </w:divBdr>
    </w:div>
    <w:div w:id="1496191078">
      <w:bodyDiv w:val="1"/>
      <w:marLeft w:val="0"/>
      <w:marRight w:val="0"/>
      <w:marTop w:val="0"/>
      <w:marBottom w:val="0"/>
      <w:divBdr>
        <w:top w:val="none" w:sz="0" w:space="0" w:color="auto"/>
        <w:left w:val="none" w:sz="0" w:space="0" w:color="auto"/>
        <w:bottom w:val="none" w:sz="0" w:space="0" w:color="auto"/>
        <w:right w:val="none" w:sz="0" w:space="0" w:color="auto"/>
      </w:divBdr>
    </w:div>
    <w:div w:id="188024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4206</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Molly (CDC/DDID/NCEZID/DHQP)</dc:creator>
  <cp:keywords/>
  <dc:description/>
  <cp:lastModifiedBy>Microsoft account</cp:lastModifiedBy>
  <cp:revision>4</cp:revision>
  <dcterms:created xsi:type="dcterms:W3CDTF">2020-02-27T16:23:00Z</dcterms:created>
  <dcterms:modified xsi:type="dcterms:W3CDTF">2022-05-03T17:12:00Z</dcterms:modified>
</cp:coreProperties>
</file>