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WASH FIT – MODULE TECHNIQUE SUR LE NETTOYAGE DE L’ENVIRONNEMENT </w:t>
      </w:r>
    </w:p>
    <w:p w:rsidR="00000000" w:rsidDel="00000000" w:rsidP="00000000" w:rsidRDefault="00000000" w:rsidRPr="00000000" w14:paraId="00000002">
      <w:pPr>
        <w:pBdr>
          <w:bottom w:color="000000" w:space="1" w:sz="4" w:val="single"/>
        </w:pBdr>
        <w:jc w:val="center"/>
        <w:rPr>
          <w:rFonts w:ascii="Arial" w:cs="Arial" w:eastAsia="Arial" w:hAnsi="Arial"/>
          <w:b w:val="1"/>
        </w:rPr>
      </w:pPr>
      <w:r w:rsidDel="00000000" w:rsidR="00000000" w:rsidRPr="00000000">
        <w:rPr>
          <w:rFonts w:ascii="Arial" w:cs="Arial" w:eastAsia="Arial" w:hAnsi="Arial"/>
          <w:b w:val="1"/>
          <w:rtl w:val="0"/>
        </w:rPr>
        <w:t xml:space="preserve">Durée de l’exercice : 10 minutes  </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pStyle w:val="Heading1"/>
        <w:ind w:right="0"/>
        <w:rPr>
          <w:rFonts w:ascii="Arial" w:cs="Arial" w:eastAsia="Arial" w:hAnsi="Arial"/>
        </w:rPr>
      </w:pPr>
      <w:r w:rsidDel="00000000" w:rsidR="00000000" w:rsidRPr="00000000">
        <w:rPr>
          <w:rFonts w:ascii="Arial" w:cs="Arial" w:eastAsia="Arial" w:hAnsi="Arial"/>
          <w:rtl w:val="0"/>
        </w:rPr>
        <w:t xml:space="preserve">Évaluation des risques permettant de déterminer la fréquence et les types de nettoyage de l’environnement requis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240" w:before="240" w:line="240" w:lineRule="auto"/>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[D’après les </w:t>
      </w:r>
      <w:r w:rsidDel="00000000" w:rsidR="00000000" w:rsidRPr="00000000">
        <w:rPr>
          <w:rFonts w:ascii="Arial" w:cs="Arial" w:eastAsia="Arial" w:hAnsi="Arial"/>
          <w:i w:val="1"/>
          <w:color w:val="212121"/>
          <w:sz w:val="24"/>
          <w:szCs w:val="24"/>
          <w:rtl w:val="0"/>
        </w:rPr>
        <w:t xml:space="preserve">Pratiques exemplaires de nettoyage de l’environnement</w:t>
      </w:r>
      <w:r w:rsidDel="00000000" w:rsidR="00000000" w:rsidRPr="00000000">
        <w:rPr>
          <w:rFonts w:ascii="Arial" w:cs="Arial" w:eastAsia="Arial" w:hAnsi="Arial"/>
          <w:color w:val="212121"/>
          <w:sz w:val="24"/>
          <w:szCs w:val="24"/>
          <w:rtl w:val="0"/>
        </w:rPr>
        <w:t xml:space="preserve">, PIDAC, 2018]</w:t>
      </w:r>
    </w:p>
    <w:p w:rsidR="00000000" w:rsidDel="00000000" w:rsidP="00000000" w:rsidRDefault="00000000" w:rsidRPr="00000000" w14:paraId="00000006">
      <w:pPr>
        <w:shd w:fill="b4c6e7" w:val="clear"/>
        <w:rPr>
          <w:b w:val="1"/>
          <w:sz w:val="26"/>
          <w:szCs w:val="26"/>
        </w:rPr>
      </w:pPr>
      <w:bookmarkStart w:colFirst="0" w:colLast="0" w:name="_30j0zll" w:id="1"/>
      <w:bookmarkEnd w:id="1"/>
      <w:r w:rsidDel="00000000" w:rsidR="00000000" w:rsidRPr="00000000">
        <w:rPr>
          <w:b w:val="1"/>
          <w:sz w:val="26"/>
          <w:szCs w:val="26"/>
          <w:rtl w:val="0"/>
        </w:rPr>
        <w:t xml:space="preserve">Étape 1 : Classer les facteurs de risque qui déterminent la nécessité d’un nettoyage de l’environnement – Probabilité de contamination par des agents pathogènes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Arial" w:cs="Arial" w:eastAsia="Arial" w:hAnsi="Arial"/>
          <w:b w:val="1"/>
          <w:color w:val="212121"/>
        </w:rPr>
      </w:pPr>
      <w:r w:rsidDel="00000000" w:rsidR="00000000" w:rsidRPr="00000000">
        <w:rPr>
          <w:rFonts w:ascii="Arial" w:cs="Arial" w:eastAsia="Arial" w:hAnsi="Arial"/>
          <w:b w:val="1"/>
          <w:color w:val="212121"/>
          <w:rtl w:val="0"/>
        </w:rPr>
        <w:t xml:space="preserve">Forte contamination (note = 3)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Arial" w:cs="Arial" w:eastAsia="Arial" w:hAnsi="Arial"/>
          <w:color w:val="212121"/>
        </w:rPr>
      </w:pPr>
      <w:r w:rsidDel="00000000" w:rsidR="00000000" w:rsidRPr="00000000">
        <w:rPr>
          <w:rFonts w:ascii="Arial" w:cs="Arial" w:eastAsia="Arial" w:hAnsi="Arial"/>
          <w:color w:val="212121"/>
          <w:rtl w:val="0"/>
        </w:rPr>
        <w:t xml:space="preserve">On considère qu’une zone est fortement contaminée dès lors que ses surfaces et équipements sont exposés régulièrement à de grandes quantités de sang ou sécrétions (p. ex., salle de travail, salle d’autopsie, laboratoire de cathétérisme cardiaque, centre d’hémodialyse, service des urgences, toilettes des clients/patients/résidents si elles sont visiblement souillées).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Arial" w:cs="Arial" w:eastAsia="Arial" w:hAnsi="Arial"/>
          <w:b w:val="1"/>
          <w:color w:val="212121"/>
        </w:rPr>
      </w:pPr>
      <w:r w:rsidDel="00000000" w:rsidR="00000000" w:rsidRPr="00000000">
        <w:rPr>
          <w:rFonts w:ascii="Arial" w:cs="Arial" w:eastAsia="Arial" w:hAnsi="Arial"/>
          <w:b w:val="1"/>
          <w:color w:val="212121"/>
          <w:rtl w:val="0"/>
        </w:rPr>
        <w:t xml:space="preserve">Contamination modérée (note = 2)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Arial" w:cs="Arial" w:eastAsia="Arial" w:hAnsi="Arial"/>
          <w:color w:val="212121"/>
        </w:rPr>
      </w:pPr>
      <w:r w:rsidDel="00000000" w:rsidR="00000000" w:rsidRPr="00000000">
        <w:rPr>
          <w:rFonts w:ascii="Arial" w:cs="Arial" w:eastAsia="Arial" w:hAnsi="Arial"/>
          <w:color w:val="212121"/>
          <w:rtl w:val="0"/>
        </w:rPr>
        <w:t xml:space="preserve">On considère qu’une zone est modérément contaminée dès lors que ses surfaces et équipements ne sont pas exposés régulièrement à de grandes quantités de sang ou sécrétions (mais peuvent l’être) et que les substances contaminées sont contenues et éliminées (p. ex., draps souillés). Toutes les chambres et toilettes des clients/patients/résidents doivent être considérées au minimum comme des zones modérément contaminées.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Arial" w:cs="Arial" w:eastAsia="Arial" w:hAnsi="Arial"/>
          <w:b w:val="1"/>
          <w:color w:val="212121"/>
        </w:rPr>
      </w:pPr>
      <w:r w:rsidDel="00000000" w:rsidR="00000000" w:rsidRPr="00000000">
        <w:rPr>
          <w:rFonts w:ascii="Arial" w:cs="Arial" w:eastAsia="Arial" w:hAnsi="Arial"/>
          <w:b w:val="1"/>
          <w:color w:val="212121"/>
          <w:rtl w:val="0"/>
        </w:rPr>
        <w:t xml:space="preserve">Contamination légère (note = 1)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Arial" w:cs="Arial" w:eastAsia="Arial" w:hAnsi="Arial"/>
          <w:color w:val="212121"/>
        </w:rPr>
      </w:pPr>
      <w:r w:rsidDel="00000000" w:rsidR="00000000" w:rsidRPr="00000000">
        <w:rPr>
          <w:rFonts w:ascii="Arial" w:cs="Arial" w:eastAsia="Arial" w:hAnsi="Arial"/>
          <w:color w:val="212121"/>
          <w:rtl w:val="0"/>
        </w:rPr>
        <w:t xml:space="preserve">On considère qu’une zone est légèrement contaminée dès lors que ses surfaces ne sont pas exposées au sang, aux sécrétions ou aux objets étant entrés en contact avec du sang ou des sécrétions (p. ex., salles d’attente, bibliothèques, bureaux). </w:t>
      </w:r>
    </w:p>
    <w:p w:rsidR="00000000" w:rsidDel="00000000" w:rsidP="00000000" w:rsidRDefault="00000000" w:rsidRPr="00000000" w14:paraId="0000000D">
      <w:pPr>
        <w:pStyle w:val="Heading3"/>
        <w:spacing w:after="160" w:before="0" w:lineRule="auto"/>
        <w:rPr>
          <w:rFonts w:ascii="Arial" w:cs="Arial" w:eastAsia="Arial" w:hAnsi="Arial"/>
        </w:rPr>
      </w:pPr>
      <w:bookmarkStart w:colFirst="0" w:colLast="0" w:name="_1fob9te" w:id="2"/>
      <w:bookmarkEnd w:id="2"/>
      <w:r w:rsidDel="00000000" w:rsidR="00000000" w:rsidRPr="00000000">
        <w:rPr>
          <w:rFonts w:ascii="Arial" w:cs="Arial" w:eastAsia="Arial" w:hAnsi="Arial"/>
          <w:rtl w:val="0"/>
        </w:rPr>
        <w:t xml:space="preserve">Vulnérabilité des personnes aux infections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Arial" w:cs="Arial" w:eastAsia="Arial" w:hAnsi="Arial"/>
          <w:color w:val="212121"/>
        </w:rPr>
      </w:pPr>
      <w:r w:rsidDel="00000000" w:rsidR="00000000" w:rsidRPr="00000000">
        <w:rPr>
          <w:rFonts w:ascii="Arial" w:cs="Arial" w:eastAsia="Arial" w:hAnsi="Arial"/>
          <w:color w:val="212121"/>
          <w:rtl w:val="0"/>
        </w:rPr>
        <w:t xml:space="preserve">Plus vulnérable (note = 1)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Arial" w:cs="Arial" w:eastAsia="Arial" w:hAnsi="Arial"/>
          <w:color w:val="212121"/>
        </w:rPr>
      </w:pPr>
      <w:r w:rsidDel="00000000" w:rsidR="00000000" w:rsidRPr="00000000">
        <w:rPr>
          <w:rFonts w:ascii="Arial" w:cs="Arial" w:eastAsia="Arial" w:hAnsi="Arial"/>
          <w:color w:val="212121"/>
          <w:rtl w:val="0"/>
        </w:rPr>
        <w:t xml:space="preserve">Les clients/patients/résidents vulnérables sont plus vulnérables aux infections en raison de leur état de santé ou de leur faible immunité : personnes immunodéprimées (services d’oncologie, de transplantation et de chimiothérapie), nouveau-nés (pouponnières de niveau 2 et 3), brûlés graves (devant être soignés dans une unité spéciale).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Arial" w:cs="Arial" w:eastAsia="Arial" w:hAnsi="Arial"/>
          <w:color w:val="212121"/>
        </w:rPr>
      </w:pPr>
      <w:r w:rsidDel="00000000" w:rsidR="00000000" w:rsidRPr="00000000">
        <w:rPr>
          <w:rFonts w:ascii="Arial" w:cs="Arial" w:eastAsia="Arial" w:hAnsi="Arial"/>
          <w:color w:val="212121"/>
          <w:rtl w:val="0"/>
        </w:rPr>
        <w:t xml:space="preserve">Moins vulnérable (note = 0)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Arial" w:cs="Arial" w:eastAsia="Arial" w:hAnsi="Arial"/>
          <w:color w:val="212121"/>
        </w:rPr>
      </w:pPr>
      <w:r w:rsidDel="00000000" w:rsidR="00000000" w:rsidRPr="00000000">
        <w:rPr>
          <w:rFonts w:ascii="Arial" w:cs="Arial" w:eastAsia="Arial" w:hAnsi="Arial"/>
          <w:color w:val="212121"/>
          <w:rtl w:val="0"/>
        </w:rPr>
        <w:t xml:space="preserve">Dans le cadre de la stratification des risques à appliquer pour le nettoyage, les autres personnes et zones sont considérées comme moins vulnérables.</w:t>
      </w:r>
    </w:p>
    <w:p w:rsidR="00000000" w:rsidDel="00000000" w:rsidP="00000000" w:rsidRDefault="00000000" w:rsidRPr="00000000" w14:paraId="00000012">
      <w:pPr>
        <w:pStyle w:val="Heading3"/>
        <w:spacing w:after="160" w:before="0" w:lineRule="auto"/>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Risque d’exposition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Arial" w:cs="Arial" w:eastAsia="Arial" w:hAnsi="Arial"/>
          <w:color w:val="212121"/>
        </w:rPr>
      </w:pPr>
      <w:r w:rsidDel="00000000" w:rsidR="00000000" w:rsidRPr="00000000">
        <w:rPr>
          <w:rFonts w:ascii="Arial" w:cs="Arial" w:eastAsia="Arial" w:hAnsi="Arial"/>
          <w:color w:val="212121"/>
          <w:rtl w:val="0"/>
        </w:rPr>
        <w:t xml:space="preserve">Surfaces à contact fréquent (note = 3) :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Arial" w:cs="Arial" w:eastAsia="Arial" w:hAnsi="Arial"/>
          <w:color w:val="212121"/>
        </w:rPr>
      </w:pPr>
      <w:r w:rsidDel="00000000" w:rsidR="00000000" w:rsidRPr="00000000">
        <w:rPr>
          <w:rFonts w:ascii="Arial" w:cs="Arial" w:eastAsia="Arial" w:hAnsi="Arial"/>
          <w:color w:val="212121"/>
          <w:rtl w:val="0"/>
        </w:rPr>
        <w:t xml:space="preserve">Ces surfaces entrent fréquemment en contact avec les mains : poignées de porte, téléphones, sonnettes d’appel, barres de lit, interrupteurs, murs près des toilettes et rebords des rideaux de séparation.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Arial" w:cs="Arial" w:eastAsia="Arial" w:hAnsi="Arial"/>
          <w:color w:val="212121"/>
        </w:rPr>
      </w:pPr>
      <w:r w:rsidDel="00000000" w:rsidR="00000000" w:rsidRPr="00000000">
        <w:rPr>
          <w:rFonts w:ascii="Arial" w:cs="Arial" w:eastAsia="Arial" w:hAnsi="Arial"/>
          <w:color w:val="212121"/>
          <w:rtl w:val="0"/>
        </w:rPr>
        <w:t xml:space="preserve">Surfaces à contact peu fréquent (note = 1)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Arial" w:cs="Arial" w:eastAsia="Arial" w:hAnsi="Arial"/>
          <w:color w:val="212121"/>
        </w:rPr>
      </w:pPr>
      <w:r w:rsidDel="00000000" w:rsidR="00000000" w:rsidRPr="00000000">
        <w:rPr>
          <w:rFonts w:ascii="Arial" w:cs="Arial" w:eastAsia="Arial" w:hAnsi="Arial"/>
          <w:color w:val="212121"/>
          <w:rtl w:val="0"/>
        </w:rPr>
        <w:t xml:space="preserve">Ces surfaces entrent peu en contact avec les mains : murs, plafonds, miroirs. </w:t>
      </w:r>
    </w:p>
    <w:p w:rsidR="00000000" w:rsidDel="00000000" w:rsidP="00000000" w:rsidRDefault="00000000" w:rsidRPr="00000000" w14:paraId="00000017">
      <w:pPr>
        <w:shd w:fill="b4c6e7" w:val="clear"/>
        <w:rPr>
          <w:b w:val="1"/>
          <w:sz w:val="26"/>
          <w:szCs w:val="26"/>
        </w:rPr>
      </w:pPr>
      <w:bookmarkStart w:colFirst="0" w:colLast="0" w:name="_2et92p0" w:id="4"/>
      <w:bookmarkEnd w:id="4"/>
      <w:r w:rsidDel="00000000" w:rsidR="00000000" w:rsidRPr="00000000">
        <w:rPr>
          <w:b w:val="1"/>
          <w:sz w:val="26"/>
          <w:szCs w:val="26"/>
          <w:rtl w:val="0"/>
        </w:rPr>
        <w:t xml:space="preserve">Étape 2 : Déterminer la note globale de stratification des risques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240" w:before="240" w:line="240" w:lineRule="auto"/>
        <w:rPr>
          <w:rFonts w:ascii="Arial" w:cs="Arial" w:eastAsia="Arial" w:hAnsi="Arial"/>
          <w:color w:val="212121"/>
        </w:rPr>
      </w:pPr>
      <w:r w:rsidDel="00000000" w:rsidR="00000000" w:rsidRPr="00000000">
        <w:rPr>
          <w:rFonts w:ascii="Arial" w:cs="Arial" w:eastAsia="Arial" w:hAnsi="Arial"/>
          <w:color w:val="212121"/>
          <w:rtl w:val="0"/>
        </w:rPr>
        <w:t xml:space="preserve">La fréquence de nettoyage est déterminée par les facteurs répertoriés précédemment. Une note est attribuée si les facteurs sont présents, et la fréquence de nettoyage est déterminée par la note globale obtenue à partir de la matrice suivante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12121"/>
        </w:rPr>
      </w:pPr>
      <w:r w:rsidDel="00000000" w:rsidR="00000000" w:rsidRPr="00000000">
        <w:rPr>
          <w:rFonts w:ascii="Arial" w:cs="Arial" w:eastAsia="Arial" w:hAnsi="Arial"/>
          <w:b w:val="1"/>
          <w:color w:val="000000"/>
          <w:rtl w:val="0"/>
        </w:rPr>
        <w:t xml:space="preserve">Notes de stratification des risques pour les </w:t>
      </w:r>
      <w:r w:rsidDel="00000000" w:rsidR="00000000" w:rsidRPr="00000000">
        <w:rPr>
          <w:rFonts w:ascii="Arial" w:cs="Arial" w:eastAsia="Arial" w:hAnsi="Arial"/>
          <w:b w:val="1"/>
          <w:i w:val="1"/>
          <w:color w:val="000000"/>
          <w:rtl w:val="0"/>
        </w:rPr>
        <w:t xml:space="preserve">surfaces à contact fréquent</w:t>
      </w:r>
      <w:r w:rsidDel="00000000" w:rsidR="00000000" w:rsidRPr="00000000">
        <w:rPr>
          <w:rFonts w:ascii="Arial" w:cs="Arial" w:eastAsia="Arial" w:hAnsi="Arial"/>
          <w:b w:val="1"/>
          <w:color w:val="000000"/>
          <w:rtl w:val="0"/>
        </w:rPr>
        <w:t xml:space="preserve"> (note de risque d’exposition = 3)</w:t>
      </w:r>
      <w:r w:rsidDel="00000000" w:rsidR="00000000" w:rsidRPr="00000000">
        <w:rPr>
          <w:rtl w:val="0"/>
        </w:rPr>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6"/>
        <w:gridCol w:w="3357"/>
        <w:gridCol w:w="3357"/>
        <w:tblGridChange w:id="0">
          <w:tblGrid>
            <w:gridCol w:w="3356"/>
            <w:gridCol w:w="3357"/>
            <w:gridCol w:w="3357"/>
          </w:tblGrid>
        </w:tblGridChange>
      </w:tblGrid>
      <w:tr>
        <w:trPr>
          <w:cantSplit w:val="0"/>
          <w:tblHeader w:val="0"/>
        </w:trPr>
        <w:tc>
          <w:tcPr>
            <w:shd w:fill="deeaf6" w:val="cle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Probabilité de contamination par des agents pathogènes </w:t>
            </w:r>
          </w:p>
        </w:tc>
        <w:tc>
          <w:tcPr>
            <w:shd w:fill="deeaf6" w:val="cle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Population plus vulnérable (note = 1) </w:t>
            </w:r>
          </w:p>
        </w:tc>
        <w:tc>
          <w:tcPr>
            <w:shd w:fill="deeaf6" w:val="cle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Population moins vulnérable </w:t>
              <w:br w:type="textWrapping"/>
              <w:t xml:space="preserve">(note = 0) </w:t>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Élevée (note = 3)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7 (3+3+1)</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6 (3+3+0)</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Moyenne (note = 2)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6 (3+2+1)</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5 (3+2+0)</w:t>
            </w:r>
            <w:r w:rsidDel="00000000" w:rsidR="00000000" w:rsidRPr="00000000">
              <w:rPr>
                <w:rtl w:val="0"/>
              </w:rPr>
            </w:r>
          </w:p>
        </w:tc>
      </w:tr>
      <w:tr>
        <w:trPr>
          <w:cantSplit w:val="0"/>
          <w:tblHeader w:val="0"/>
        </w:trPr>
        <w:tc>
          <w:tcPr>
            <w:tcMar>
              <w:top w:w="43.0" w:type="dxa"/>
              <w:left w:w="115.0" w:type="dxa"/>
              <w:bottom w:w="43.0" w:type="dxa"/>
              <w:right w:w="115.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Faible (note = 1)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5 (3+1+1)</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4 (3+1+0)</w:t>
            </w:r>
            <w:r w:rsidDel="00000000" w:rsidR="00000000" w:rsidRPr="00000000">
              <w:rPr>
                <w:rtl w:val="0"/>
              </w:rPr>
            </w:r>
          </w:p>
        </w:tc>
      </w:tr>
    </w:tb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12121"/>
        </w:rPr>
      </w:pPr>
      <w:r w:rsidDel="00000000" w:rsidR="00000000" w:rsidRPr="00000000">
        <w:rPr>
          <w:rFonts w:ascii="Arial" w:cs="Arial" w:eastAsia="Arial" w:hAnsi="Arial"/>
          <w:b w:val="1"/>
          <w:color w:val="000000"/>
          <w:rtl w:val="0"/>
        </w:rPr>
        <w:t xml:space="preserve">Notes de stratification des risques pour les </w:t>
      </w:r>
      <w:r w:rsidDel="00000000" w:rsidR="00000000" w:rsidRPr="00000000">
        <w:rPr>
          <w:rFonts w:ascii="Arial" w:cs="Arial" w:eastAsia="Arial" w:hAnsi="Arial"/>
          <w:b w:val="1"/>
          <w:i w:val="1"/>
          <w:color w:val="000000"/>
          <w:rtl w:val="0"/>
        </w:rPr>
        <w:t xml:space="preserve">surfaces à contact peu fréquent</w:t>
      </w:r>
      <w:r w:rsidDel="00000000" w:rsidR="00000000" w:rsidRPr="00000000">
        <w:rPr>
          <w:rFonts w:ascii="Arial" w:cs="Arial" w:eastAsia="Arial" w:hAnsi="Arial"/>
          <w:b w:val="1"/>
          <w:color w:val="000000"/>
          <w:rtl w:val="0"/>
        </w:rPr>
        <w:t xml:space="preserve"> (note de risque d’exposition = 1)</w:t>
      </w:r>
      <w:r w:rsidDel="00000000" w:rsidR="00000000" w:rsidRPr="00000000">
        <w:rPr>
          <w:rtl w:val="0"/>
        </w:rPr>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6"/>
        <w:gridCol w:w="3357"/>
        <w:gridCol w:w="3357"/>
        <w:tblGridChange w:id="0">
          <w:tblGrid>
            <w:gridCol w:w="3356"/>
            <w:gridCol w:w="3357"/>
            <w:gridCol w:w="3357"/>
          </w:tblGrid>
        </w:tblGridChange>
      </w:tblGrid>
      <w:tr>
        <w:trPr>
          <w:cantSplit w:val="1"/>
          <w:tblHeader w:val="1"/>
        </w:trPr>
        <w:tc>
          <w:tcPr>
            <w:shd w:fill="deeaf6" w:val="cle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Probabilité de contamination par des agents pathogènes </w:t>
            </w:r>
          </w:p>
        </w:tc>
        <w:tc>
          <w:tcPr>
            <w:shd w:fill="deeaf6" w:val="cle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Population plus vulnérable (note = 1) </w:t>
            </w:r>
          </w:p>
        </w:tc>
        <w:tc>
          <w:tcPr>
            <w:shd w:fill="deeaf6" w:val="cle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Population moins vulnérable </w:t>
              <w:br w:type="textWrapping"/>
              <w:t xml:space="preserve">(note = 0) </w:t>
            </w:r>
          </w:p>
        </w:tc>
      </w:tr>
      <w:tr>
        <w:trPr>
          <w:cantSplit w:val="1"/>
          <w:tblHeader w:val="0"/>
        </w:trPr>
        <w:tc>
          <w:tcPr>
            <w:tcMar>
              <w:top w:w="43.0" w:type="dxa"/>
              <w:left w:w="115.0" w:type="dxa"/>
              <w:bottom w:w="43.0" w:type="dxa"/>
              <w:right w:w="115.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Élevée (note = 3)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5 (1+3+1)</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4 (1+3+0)</w:t>
            </w:r>
            <w:r w:rsidDel="00000000" w:rsidR="00000000" w:rsidRPr="00000000">
              <w:rPr>
                <w:rtl w:val="0"/>
              </w:rPr>
            </w:r>
          </w:p>
        </w:tc>
      </w:tr>
      <w:tr>
        <w:trPr>
          <w:cantSplit w:val="1"/>
          <w:tblHeader w:val="0"/>
        </w:trPr>
        <w:tc>
          <w:tcPr>
            <w:tcMar>
              <w:top w:w="43.0" w:type="dxa"/>
              <w:left w:w="115.0" w:type="dxa"/>
              <w:bottom w:w="43.0" w:type="dxa"/>
              <w:right w:w="115.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Moyenne (note = 2)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4 (1+2+1)</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3 (1+2+0)</w:t>
            </w:r>
            <w:r w:rsidDel="00000000" w:rsidR="00000000" w:rsidRPr="00000000">
              <w:rPr>
                <w:rtl w:val="0"/>
              </w:rPr>
            </w:r>
          </w:p>
        </w:tc>
      </w:tr>
      <w:tr>
        <w:trPr>
          <w:cantSplit w:val="1"/>
          <w:tblHeader w:val="0"/>
        </w:trPr>
        <w:tc>
          <w:tcPr>
            <w:tcMar>
              <w:top w:w="43.0" w:type="dxa"/>
              <w:left w:w="115.0" w:type="dxa"/>
              <w:bottom w:w="43.0" w:type="dxa"/>
              <w:right w:w="115.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Faible (note = 1) </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3 (1+1+1)</w:t>
            </w: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212121"/>
              </w:rPr>
            </w:pPr>
            <w:r w:rsidDel="00000000" w:rsidR="00000000" w:rsidRPr="00000000">
              <w:rPr>
                <w:rFonts w:ascii="Arial" w:cs="Arial" w:eastAsia="Arial" w:hAnsi="Arial"/>
                <w:color w:val="000000"/>
                <w:rtl w:val="0"/>
              </w:rPr>
              <w:t xml:space="preserve">2 (1+1+0)</w:t>
            </w:r>
            <w:r w:rsidDel="00000000" w:rsidR="00000000" w:rsidRPr="00000000">
              <w:rPr>
                <w:rtl w:val="0"/>
              </w:rPr>
            </w:r>
          </w:p>
        </w:tc>
      </w:tr>
    </w:tb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tl w:val="0"/>
        </w:rPr>
      </w:r>
    </w:p>
    <w:p w:rsidR="00000000" w:rsidDel="00000000" w:rsidP="00000000" w:rsidRDefault="00000000" w:rsidRPr="00000000" w14:paraId="00000035">
      <w:pPr>
        <w:pStyle w:val="Heading2"/>
        <w:rPr>
          <w:rFonts w:ascii="Arial" w:cs="Arial" w:eastAsia="Arial" w:hAnsi="Arial"/>
        </w:rPr>
      </w:pPr>
      <w:bookmarkStart w:colFirst="0" w:colLast="0" w:name="_tyjcwt" w:id="5"/>
      <w:bookmarkEnd w:id="5"/>
      <w:r w:rsidDel="00000000" w:rsidR="00000000" w:rsidRPr="00000000">
        <w:rPr>
          <w:rFonts w:ascii="Arial" w:cs="Arial" w:eastAsia="Arial" w:hAnsi="Arial"/>
          <w:rtl w:val="0"/>
        </w:rPr>
        <w:t xml:space="preserve">ÉTAPE 3 : Déterminer la fréquence de nettoyage en fonction de la matrice de stratification des risques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La fréquence de nettoyage de chaque zone de soins dépend de la note globale obtenue à l’aide de la matrice de stratification des risques présentée précédemment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b w:val="1"/>
          <w:color w:val="000000"/>
          <w:rtl w:val="0"/>
        </w:rPr>
        <w:t xml:space="preserve">Fréquence de nettoyage selon la note globale de risque</w:t>
      </w:r>
      <w:r w:rsidDel="00000000" w:rsidR="00000000" w:rsidRPr="00000000">
        <w:rPr>
          <w:rtl w:val="0"/>
        </w:rPr>
      </w:r>
    </w:p>
    <w:tbl>
      <w:tblPr>
        <w:tblStyle w:val="Table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7"/>
        <w:gridCol w:w="1700"/>
        <w:gridCol w:w="6563"/>
        <w:tblGridChange w:id="0">
          <w:tblGrid>
            <w:gridCol w:w="1807"/>
            <w:gridCol w:w="1700"/>
            <w:gridCol w:w="6563"/>
          </w:tblGrid>
        </w:tblGridChange>
      </w:tblGrid>
      <w:tr>
        <w:trPr>
          <w:cantSplit w:val="1"/>
          <w:tblHeader w:val="1"/>
        </w:trPr>
        <w:tc>
          <w:tcPr>
            <w:shd w:fill="deeaf6" w:val="cle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ffff"/>
              </w:rPr>
            </w:pPr>
            <w:r w:rsidDel="00000000" w:rsidR="00000000" w:rsidRPr="00000000">
              <w:rPr>
                <w:rFonts w:ascii="Arial" w:cs="Arial" w:eastAsia="Arial" w:hAnsi="Arial"/>
                <w:b w:val="1"/>
                <w:color w:val="000000"/>
                <w:rtl w:val="0"/>
              </w:rPr>
              <w:t xml:space="preserve">Note globale de risque </w:t>
            </w:r>
            <w:r w:rsidDel="00000000" w:rsidR="00000000" w:rsidRPr="00000000">
              <w:rPr>
                <w:rtl w:val="0"/>
              </w:rPr>
            </w:r>
          </w:p>
        </w:tc>
        <w:tc>
          <w:tcPr>
            <w:shd w:fill="deeaf6" w:val="cle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ffff"/>
              </w:rPr>
            </w:pPr>
            <w:r w:rsidDel="00000000" w:rsidR="00000000" w:rsidRPr="00000000">
              <w:rPr>
                <w:rFonts w:ascii="Arial" w:cs="Arial" w:eastAsia="Arial" w:hAnsi="Arial"/>
                <w:b w:val="1"/>
                <w:color w:val="000000"/>
                <w:rtl w:val="0"/>
              </w:rPr>
              <w:t xml:space="preserve">Type de risque </w:t>
            </w:r>
            <w:r w:rsidDel="00000000" w:rsidR="00000000" w:rsidRPr="00000000">
              <w:rPr>
                <w:rtl w:val="0"/>
              </w:rPr>
            </w:r>
          </w:p>
        </w:tc>
        <w:tc>
          <w:tcPr>
            <w:shd w:fill="deeaf6" w:val="cle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ffff"/>
              </w:rPr>
            </w:pPr>
            <w:r w:rsidDel="00000000" w:rsidR="00000000" w:rsidRPr="00000000">
              <w:rPr>
                <w:rFonts w:ascii="Arial" w:cs="Arial" w:eastAsia="Arial" w:hAnsi="Arial"/>
                <w:b w:val="1"/>
                <w:color w:val="000000"/>
                <w:rtl w:val="0"/>
              </w:rPr>
              <w:t xml:space="preserve">Fréquence minimale de nettoyage </w:t>
            </w:r>
            <w:r w:rsidDel="00000000" w:rsidR="00000000" w:rsidRPr="00000000">
              <w:rPr>
                <w:rtl w:val="0"/>
              </w:rPr>
            </w:r>
          </w:p>
        </w:tc>
      </w:tr>
      <w:tr>
        <w:trPr>
          <w:cantSplit w:val="1"/>
          <w:tblHeader w:val="0"/>
        </w:trPr>
        <w:tc>
          <w:tcPr>
            <w:tcMar>
              <w:top w:w="43.0" w:type="dxa"/>
              <w:left w:w="115.0" w:type="dxa"/>
              <w:bottom w:w="43.0" w:type="dxa"/>
              <w:right w:w="115.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212121"/>
                <w:rtl w:val="0"/>
              </w:rPr>
              <w:t xml:space="preserve">7</w:t>
            </w:r>
          </w:p>
        </w:tc>
        <w:tc>
          <w:tcPr>
            <w:tcMar>
              <w:top w:w="43.0" w:type="dxa"/>
              <w:left w:w="115.0" w:type="dxa"/>
              <w:bottom w:w="43.0" w:type="dxa"/>
              <w:right w:w="115.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Risque élevé </w:t>
            </w:r>
            <w:r w:rsidDel="00000000" w:rsidR="00000000" w:rsidRPr="00000000">
              <w:rPr>
                <w:rtl w:val="0"/>
              </w:rPr>
            </w:r>
          </w:p>
        </w:tc>
        <w:tc>
          <w:tcPr>
            <w:tcMar>
              <w:top w:w="43.0" w:type="dxa"/>
              <w:left w:w="115.0" w:type="dxa"/>
              <w:bottom w:w="43.0" w:type="dxa"/>
              <w:right w:w="115.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Nettoyer après chaque cas/événement/procédure, et nettoyage supplémentaire si nécessaire </w:t>
            </w:r>
            <w:r w:rsidDel="00000000" w:rsidR="00000000" w:rsidRPr="00000000">
              <w:rPr>
                <w:rtl w:val="0"/>
              </w:rPr>
            </w:r>
          </w:p>
        </w:tc>
      </w:tr>
      <w:tr>
        <w:trPr>
          <w:cantSplit w:val="1"/>
          <w:tblHeader w:val="0"/>
        </w:trPr>
        <w:tc>
          <w:tcPr>
            <w:tcMar>
              <w:top w:w="43.0" w:type="dxa"/>
              <w:left w:w="115.0" w:type="dxa"/>
              <w:bottom w:w="43.0" w:type="dxa"/>
              <w:right w:w="115.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212121"/>
                <w:rtl w:val="0"/>
              </w:rPr>
              <w:t xml:space="preserve">4-6</w:t>
            </w:r>
          </w:p>
        </w:tc>
        <w:tc>
          <w:tcPr>
            <w:tcMar>
              <w:top w:w="43.0" w:type="dxa"/>
              <w:left w:w="115.0" w:type="dxa"/>
              <w:bottom w:w="43.0" w:type="dxa"/>
              <w:right w:w="115.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Risque modéré </w:t>
            </w:r>
            <w:r w:rsidDel="00000000" w:rsidR="00000000" w:rsidRPr="00000000">
              <w:rPr>
                <w:rtl w:val="0"/>
              </w:rPr>
            </w:r>
          </w:p>
        </w:tc>
        <w:tc>
          <w:tcPr>
            <w:tcMar>
              <w:top w:w="43.0" w:type="dxa"/>
              <w:left w:w="115.0" w:type="dxa"/>
              <w:bottom w:w="43.0" w:type="dxa"/>
              <w:right w:w="115.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Nettoyer au moins une fois par jour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Nettoyage supplémentaire si nécessaire (p. ex., en cas de souillures importantes)</w:t>
            </w:r>
            <w:r w:rsidDel="00000000" w:rsidR="00000000" w:rsidRPr="00000000">
              <w:rPr>
                <w:rtl w:val="0"/>
              </w:rPr>
            </w:r>
          </w:p>
        </w:tc>
      </w:tr>
      <w:tr>
        <w:trPr>
          <w:cantSplit w:val="1"/>
          <w:tblHeader w:val="0"/>
        </w:trPr>
        <w:tc>
          <w:tcPr>
            <w:tcMar>
              <w:top w:w="43.0" w:type="dxa"/>
              <w:left w:w="115.0" w:type="dxa"/>
              <w:bottom w:w="43.0" w:type="dxa"/>
              <w:right w:w="115.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212121"/>
                <w:rtl w:val="0"/>
              </w:rPr>
              <w:t xml:space="preserve">2–3</w:t>
            </w:r>
          </w:p>
        </w:tc>
        <w:tc>
          <w:tcPr>
            <w:tcMar>
              <w:top w:w="43.0" w:type="dxa"/>
              <w:left w:w="115.0" w:type="dxa"/>
              <w:bottom w:w="43.0" w:type="dxa"/>
              <w:right w:w="115.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Risque faible </w:t>
            </w:r>
            <w:r w:rsidDel="00000000" w:rsidR="00000000" w:rsidRPr="00000000">
              <w:rPr>
                <w:rtl w:val="0"/>
              </w:rPr>
            </w:r>
          </w:p>
        </w:tc>
        <w:tc>
          <w:tcPr>
            <w:tcMar>
              <w:top w:w="43.0" w:type="dxa"/>
              <w:left w:w="115.0" w:type="dxa"/>
              <w:bottom w:w="43.0" w:type="dxa"/>
              <w:right w:w="115.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Nettoyer à intervalles réguliers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000000"/>
                <w:rtl w:val="0"/>
              </w:rPr>
              <w:t xml:space="preserve">Nettoyage supplémentaire si nécessaire (p. ex., en cas de souillures importantes) </w:t>
            </w:r>
            <w:r w:rsidDel="00000000" w:rsidR="00000000" w:rsidRPr="00000000">
              <w:rPr>
                <w:rtl w:val="0"/>
              </w:rPr>
            </w:r>
          </w:p>
        </w:tc>
      </w:tr>
    </w:tbl>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EXEMPLES : </w:t>
      </w:r>
    </w:p>
    <w:tbl>
      <w:tblPr>
        <w:tblStyle w:val="Table4"/>
        <w:tblW w:w="1041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2"/>
        <w:gridCol w:w="2020"/>
        <w:gridCol w:w="1978"/>
        <w:gridCol w:w="1917"/>
        <w:gridCol w:w="1844"/>
        <w:tblGridChange w:id="0">
          <w:tblGrid>
            <w:gridCol w:w="2652"/>
            <w:gridCol w:w="2020"/>
            <w:gridCol w:w="1978"/>
            <w:gridCol w:w="1917"/>
            <w:gridCol w:w="1844"/>
          </w:tblGrid>
        </w:tblGridChange>
      </w:tblGrid>
      <w:tr>
        <w:trPr>
          <w:cantSplit w:val="1"/>
          <w:tblHeader w:val="1"/>
        </w:trPr>
        <w:tc>
          <w:tcPr>
            <w:shd w:fill="deeaf6" w:val="clear"/>
            <w:vAlign w:val="bottom"/>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ffff"/>
              </w:rPr>
            </w:pPr>
            <w:r w:rsidDel="00000000" w:rsidR="00000000" w:rsidRPr="00000000">
              <w:rPr>
                <w:rFonts w:ascii="Arial" w:cs="Arial" w:eastAsia="Arial" w:hAnsi="Arial"/>
                <w:b w:val="1"/>
                <w:color w:val="000000"/>
                <w:rtl w:val="0"/>
              </w:rPr>
              <w:t xml:space="preserve">Lieu</w:t>
            </w:r>
            <w:r w:rsidDel="00000000" w:rsidR="00000000" w:rsidRPr="00000000">
              <w:rPr>
                <w:rtl w:val="0"/>
              </w:rPr>
            </w:r>
          </w:p>
        </w:tc>
        <w:tc>
          <w:tcPr>
            <w:shd w:fill="deeaf6" w:val="clear"/>
            <w:vAlign w:val="bottom"/>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Probabilité de contamination</w:t>
            </w:r>
          </w:p>
        </w:tc>
        <w:tc>
          <w:tcPr>
            <w:shd w:fill="deeaf6" w:val="clear"/>
            <w:vAlign w:val="bottom"/>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Vulnérabilité des personnes</w:t>
            </w:r>
          </w:p>
        </w:tc>
        <w:tc>
          <w:tcPr>
            <w:shd w:fill="deeaf6" w:val="clear"/>
            <w:vAlign w:val="bottom"/>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ffff"/>
              </w:rPr>
            </w:pPr>
            <w:r w:rsidDel="00000000" w:rsidR="00000000" w:rsidRPr="00000000">
              <w:rPr>
                <w:rFonts w:ascii="Arial" w:cs="Arial" w:eastAsia="Arial" w:hAnsi="Arial"/>
                <w:b w:val="1"/>
                <w:color w:val="000000"/>
                <w:rtl w:val="0"/>
              </w:rPr>
              <w:t xml:space="preserve">Risque d’exposition</w:t>
            </w:r>
            <w:r w:rsidDel="00000000" w:rsidR="00000000" w:rsidRPr="00000000">
              <w:rPr>
                <w:rtl w:val="0"/>
              </w:rPr>
            </w:r>
          </w:p>
        </w:tc>
        <w:tc>
          <w:tcPr>
            <w:shd w:fill="deeaf6" w:val="clear"/>
            <w:vAlign w:val="bottom"/>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Note globale</w:t>
            </w:r>
          </w:p>
        </w:tc>
      </w:tr>
      <w:tr>
        <w:trPr>
          <w:cantSplit w:val="1"/>
          <w:trHeight w:val="270" w:hRule="atLeast"/>
          <w:tblHeader w:val="0"/>
        </w:trPr>
        <w:tc>
          <w:tcPr>
            <w:vMerge w:val="restart"/>
            <w:tcMar>
              <w:top w:w="43.0" w:type="dxa"/>
              <w:left w:w="115.0" w:type="dxa"/>
              <w:bottom w:w="43.0" w:type="dxa"/>
              <w:right w:w="115.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212121"/>
                <w:rtl w:val="0"/>
              </w:rPr>
              <w:t xml:space="preserve">Unité de soins aux brûlés</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tl w:val="0"/>
              </w:rPr>
            </w:r>
          </w:p>
        </w:tc>
        <w:tc>
          <w:tcPr>
            <w:vMerge w:val="restart"/>
            <w:tcMar>
              <w:top w:w="43.0" w:type="dxa"/>
              <w:left w:w="115.0" w:type="dxa"/>
              <w:bottom w:w="43.0" w:type="dxa"/>
              <w:right w:w="115.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vMerge w:val="restart"/>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Mar>
              <w:top w:w="43.0" w:type="dxa"/>
              <w:left w:w="115.0" w:type="dxa"/>
              <w:bottom w:w="43.0" w:type="dxa"/>
              <w:right w:w="115.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Contact fréquent (3)</w:t>
            </w:r>
          </w:p>
        </w:tc>
        <w:tc>
          <w:tcPr>
            <w:tcMar>
              <w:top w:w="43.0" w:type="dxa"/>
              <w:left w:w="115.0" w:type="dxa"/>
              <w:bottom w:w="43.0" w:type="dxa"/>
              <w:right w:w="115.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7</w:t>
            </w:r>
          </w:p>
        </w:tc>
      </w:tr>
      <w:tr>
        <w:trPr>
          <w:cantSplit w:val="1"/>
          <w:trHeight w:val="270" w:hRule="atLeast"/>
          <w:tblHeader w:val="0"/>
        </w:trPr>
        <w:tc>
          <w:tcPr>
            <w:vMerge w:val="continue"/>
            <w:tcMar>
              <w:top w:w="43.0" w:type="dxa"/>
              <w:left w:w="115.0" w:type="dxa"/>
              <w:bottom w:w="43.0" w:type="dxa"/>
              <w:right w:w="115.0" w:type="dxa"/>
            </w:tcM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Mar>
              <w:top w:w="43.0" w:type="dxa"/>
              <w:left w:w="115.0" w:type="dxa"/>
              <w:bottom w:w="43.0" w:type="dxa"/>
              <w:right w:w="115.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Contact peu fréquent (1)</w:t>
            </w:r>
          </w:p>
        </w:tc>
        <w:tc>
          <w:tcPr>
            <w:tcMar>
              <w:top w:w="43.0" w:type="dxa"/>
              <w:left w:w="115.0" w:type="dxa"/>
              <w:bottom w:w="43.0" w:type="dxa"/>
              <w:right w:w="115.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cantSplit w:val="1"/>
          <w:trHeight w:val="270" w:hRule="atLeast"/>
          <w:tblHeader w:val="0"/>
        </w:trPr>
        <w:tc>
          <w:tcPr>
            <w:vMerge w:val="restart"/>
            <w:tcMar>
              <w:top w:w="43.0" w:type="dxa"/>
              <w:left w:w="115.0" w:type="dxa"/>
              <w:bottom w:w="43.0" w:type="dxa"/>
              <w:right w:w="115.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212121"/>
                <w:rtl w:val="0"/>
              </w:rPr>
              <w:t xml:space="preserve">Service général d’hospitalisation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tl w:val="0"/>
              </w:rPr>
            </w:r>
          </w:p>
        </w:tc>
        <w:tc>
          <w:tcPr>
            <w:vMerge w:val="restart"/>
            <w:tcMar>
              <w:top w:w="43.0" w:type="dxa"/>
              <w:left w:w="115.0" w:type="dxa"/>
              <w:bottom w:w="43.0" w:type="dxa"/>
              <w:right w:w="115.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vMerge w:val="restart"/>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w:t>
            </w:r>
          </w:p>
        </w:tc>
        <w:tc>
          <w:tcPr>
            <w:tcMar>
              <w:top w:w="43.0" w:type="dxa"/>
              <w:left w:w="115.0" w:type="dxa"/>
              <w:bottom w:w="43.0" w:type="dxa"/>
              <w:right w:w="115.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Contact fréquent (3)</w:t>
            </w:r>
          </w:p>
        </w:tc>
        <w:tc>
          <w:tcPr>
            <w:tcMar>
              <w:top w:w="43.0" w:type="dxa"/>
              <w:left w:w="115.0" w:type="dxa"/>
              <w:bottom w:w="43.0" w:type="dxa"/>
              <w:right w:w="115.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5</w:t>
            </w:r>
          </w:p>
        </w:tc>
      </w:tr>
      <w:tr>
        <w:trPr>
          <w:cantSplit w:val="1"/>
          <w:trHeight w:val="270" w:hRule="atLeast"/>
          <w:tblHeader w:val="0"/>
        </w:trPr>
        <w:tc>
          <w:tcPr>
            <w:vMerge w:val="continue"/>
            <w:tcMar>
              <w:top w:w="43.0" w:type="dxa"/>
              <w:left w:w="115.0" w:type="dxa"/>
              <w:bottom w:w="43.0" w:type="dxa"/>
              <w:right w:w="115.0" w:type="dxa"/>
            </w:tcM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Mar>
              <w:top w:w="43.0" w:type="dxa"/>
              <w:left w:w="115.0" w:type="dxa"/>
              <w:bottom w:w="43.0" w:type="dxa"/>
              <w:right w:w="115.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Contact peu fréquent (1)</w:t>
            </w:r>
          </w:p>
        </w:tc>
        <w:tc>
          <w:tcPr>
            <w:tcMar>
              <w:top w:w="43.0" w:type="dxa"/>
              <w:left w:w="115.0" w:type="dxa"/>
              <w:bottom w:w="43.0" w:type="dxa"/>
              <w:right w:w="115.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r>
      <w:tr>
        <w:trPr>
          <w:cantSplit w:val="1"/>
          <w:trHeight w:val="270" w:hRule="atLeast"/>
          <w:tblHeader w:val="0"/>
        </w:trPr>
        <w:tc>
          <w:tcPr>
            <w:vMerge w:val="restart"/>
            <w:tcMar>
              <w:top w:w="43.0" w:type="dxa"/>
              <w:left w:w="115.0" w:type="dxa"/>
              <w:bottom w:w="43.0" w:type="dxa"/>
              <w:right w:w="115.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212121"/>
                <w:rtl w:val="0"/>
              </w:rPr>
              <w:t xml:space="preserve">Unité de soins intensifs</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tl w:val="0"/>
              </w:rPr>
            </w:r>
          </w:p>
        </w:tc>
        <w:tc>
          <w:tcPr>
            <w:vMerge w:val="restart"/>
            <w:tcMar>
              <w:top w:w="43.0" w:type="dxa"/>
              <w:left w:w="115.0" w:type="dxa"/>
              <w:bottom w:w="43.0" w:type="dxa"/>
              <w:right w:w="115.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vMerge w:val="restart"/>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Mar>
              <w:top w:w="43.0" w:type="dxa"/>
              <w:left w:w="115.0" w:type="dxa"/>
              <w:bottom w:w="43.0" w:type="dxa"/>
              <w:right w:w="115.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Contact fréquent (3)</w:t>
            </w:r>
          </w:p>
        </w:tc>
        <w:tc>
          <w:tcPr>
            <w:tcMar>
              <w:top w:w="43.0" w:type="dxa"/>
              <w:left w:w="115.0" w:type="dxa"/>
              <w:bottom w:w="43.0" w:type="dxa"/>
              <w:right w:w="115.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w:t>
            </w:r>
          </w:p>
        </w:tc>
      </w:tr>
      <w:tr>
        <w:trPr>
          <w:cantSplit w:val="1"/>
          <w:trHeight w:val="270" w:hRule="atLeast"/>
          <w:tblHeader w:val="0"/>
        </w:trPr>
        <w:tc>
          <w:tcPr>
            <w:vMerge w:val="continue"/>
            <w:tcMar>
              <w:top w:w="43.0" w:type="dxa"/>
              <w:left w:w="115.0" w:type="dxa"/>
              <w:bottom w:w="43.0" w:type="dxa"/>
              <w:right w:w="115.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Mar>
              <w:top w:w="43.0" w:type="dxa"/>
              <w:left w:w="115.0" w:type="dxa"/>
              <w:bottom w:w="43.0" w:type="dxa"/>
              <w:right w:w="115.0" w:type="dxa"/>
            </w:tcM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Contact peu fréquent (1)</w:t>
            </w:r>
          </w:p>
        </w:tc>
        <w:tc>
          <w:tcPr>
            <w:tcMar>
              <w:top w:w="43.0" w:type="dxa"/>
              <w:left w:w="115.0" w:type="dxa"/>
              <w:bottom w:w="43.0" w:type="dxa"/>
              <w:right w:w="115.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cantSplit w:val="1"/>
          <w:trHeight w:val="135" w:hRule="atLeast"/>
          <w:tblHeader w:val="0"/>
        </w:trPr>
        <w:tc>
          <w:tcPr>
            <w:vMerge w:val="restart"/>
            <w:tcMar>
              <w:top w:w="43.0" w:type="dxa"/>
              <w:left w:w="115.0" w:type="dxa"/>
              <w:bottom w:w="43.0" w:type="dxa"/>
              <w:right w:w="115.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212121"/>
                <w:rtl w:val="0"/>
              </w:rPr>
              <w:t xml:space="preserve">Précautions de contact (</w:t>
            </w:r>
            <w:r w:rsidDel="00000000" w:rsidR="00000000" w:rsidRPr="00000000">
              <w:rPr>
                <w:rFonts w:ascii="Arial" w:cs="Arial" w:eastAsia="Arial" w:hAnsi="Arial"/>
                <w:i w:val="1"/>
                <w:color w:val="212121"/>
                <w:rtl w:val="0"/>
              </w:rPr>
              <w:t xml:space="preserve">Candida auris, acinetobacter</w:t>
            </w:r>
            <w:r w:rsidDel="00000000" w:rsidR="00000000" w:rsidRPr="00000000">
              <w:rPr>
                <w:rFonts w:ascii="Arial" w:cs="Arial" w:eastAsia="Arial" w:hAnsi="Arial"/>
                <w:color w:val="212121"/>
                <w:rtl w:val="0"/>
              </w:rPr>
              <w:t xml:space="preserve">)</w:t>
            </w:r>
          </w:p>
        </w:tc>
        <w:tc>
          <w:tcPr>
            <w:vMerge w:val="restart"/>
            <w:tcMar>
              <w:top w:w="43.0" w:type="dxa"/>
              <w:left w:w="115.0" w:type="dxa"/>
              <w:bottom w:w="43.0" w:type="dxa"/>
              <w:right w:w="115.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2–3</w:t>
            </w:r>
          </w:p>
        </w:tc>
        <w:tc>
          <w:tcPr>
            <w:vMerge w:val="restart"/>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Mar>
              <w:top w:w="43.0" w:type="dxa"/>
              <w:left w:w="115.0" w:type="dxa"/>
              <w:bottom w:w="43.0" w:type="dxa"/>
              <w:right w:w="115.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Contact fréquent (3)</w:t>
            </w:r>
          </w:p>
        </w:tc>
        <w:tc>
          <w:tcPr>
            <w:tcMar>
              <w:top w:w="43.0" w:type="dxa"/>
              <w:left w:w="115.0" w:type="dxa"/>
              <w:bottom w:w="43.0" w:type="dxa"/>
              <w:right w:w="115.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w:t>
            </w:r>
          </w:p>
        </w:tc>
      </w:tr>
      <w:tr>
        <w:trPr>
          <w:cantSplit w:val="1"/>
          <w:trHeight w:val="135" w:hRule="atLeast"/>
          <w:tblHeader w:val="0"/>
        </w:trPr>
        <w:tc>
          <w:tcPr>
            <w:vMerge w:val="continue"/>
            <w:tcMar>
              <w:top w:w="43.0" w:type="dxa"/>
              <w:left w:w="115.0" w:type="dxa"/>
              <w:bottom w:w="43.0" w:type="dxa"/>
              <w:right w:w="115.0" w:type="dxa"/>
            </w:tcM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Mar>
              <w:top w:w="43.0" w:type="dxa"/>
              <w:left w:w="115.0" w:type="dxa"/>
              <w:bottom w:w="43.0" w:type="dxa"/>
              <w:right w:w="115.0" w:type="dxa"/>
            </w:tcM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Contact peu fréquent (1)</w:t>
            </w:r>
          </w:p>
        </w:tc>
        <w:tc>
          <w:tcPr>
            <w:tcMar>
              <w:top w:w="43.0" w:type="dxa"/>
              <w:left w:w="115.0" w:type="dxa"/>
              <w:bottom w:w="43.0" w:type="dxa"/>
              <w:right w:w="115.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4–5</w:t>
            </w:r>
          </w:p>
        </w:tc>
      </w:tr>
      <w:tr>
        <w:trPr>
          <w:cantSplit w:val="1"/>
          <w:trHeight w:val="135" w:hRule="atLeast"/>
          <w:tblHeader w:val="0"/>
        </w:trPr>
        <w:tc>
          <w:tcPr>
            <w:vMerge w:val="restart"/>
            <w:tcMar>
              <w:top w:w="43.0" w:type="dxa"/>
              <w:left w:w="115.0" w:type="dxa"/>
              <w:bottom w:w="43.0" w:type="dxa"/>
              <w:right w:w="115.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12121"/>
              </w:rPr>
            </w:pPr>
            <w:r w:rsidDel="00000000" w:rsidR="00000000" w:rsidRPr="00000000">
              <w:rPr>
                <w:rFonts w:ascii="Arial" w:cs="Arial" w:eastAsia="Arial" w:hAnsi="Arial"/>
                <w:color w:val="212121"/>
                <w:rtl w:val="0"/>
              </w:rPr>
              <w:t xml:space="preserve">Contact/goutelettes/contamination aérienne (?) Précautions (coronavirus)</w:t>
            </w:r>
          </w:p>
        </w:tc>
        <w:tc>
          <w:tcPr>
            <w:vMerge w:val="restart"/>
            <w:tcMar>
              <w:top w:w="43.0" w:type="dxa"/>
              <w:left w:w="115.0" w:type="dxa"/>
              <w:bottom w:w="43.0" w:type="dxa"/>
              <w:right w:w="115.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2–3</w:t>
            </w:r>
          </w:p>
        </w:tc>
        <w:tc>
          <w:tcPr>
            <w:vMerge w:val="restart"/>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Mar>
              <w:top w:w="43.0" w:type="dxa"/>
              <w:left w:w="115.0" w:type="dxa"/>
              <w:bottom w:w="43.0" w:type="dxa"/>
              <w:right w:w="115.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Contact fréquent (3)</w:t>
            </w:r>
          </w:p>
        </w:tc>
        <w:tc>
          <w:tcPr>
            <w:tcMar>
              <w:top w:w="43.0" w:type="dxa"/>
              <w:left w:w="115.0" w:type="dxa"/>
              <w:bottom w:w="43.0" w:type="dxa"/>
              <w:right w:w="115.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6-7</w:t>
            </w:r>
          </w:p>
        </w:tc>
      </w:tr>
      <w:tr>
        <w:trPr>
          <w:cantSplit w:val="1"/>
          <w:trHeight w:val="135" w:hRule="atLeast"/>
          <w:tblHeader w:val="0"/>
        </w:trPr>
        <w:tc>
          <w:tcPr>
            <w:vMerge w:val="continue"/>
            <w:tcMar>
              <w:top w:w="43.0" w:type="dxa"/>
              <w:left w:w="115.0" w:type="dxa"/>
              <w:bottom w:w="43.0" w:type="dxa"/>
              <w:right w:w="115.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Mar>
              <w:top w:w="43.0" w:type="dxa"/>
              <w:left w:w="115.0" w:type="dxa"/>
              <w:bottom w:w="43.0" w:type="dxa"/>
              <w:right w:w="115.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Mar>
              <w:top w:w="43.0" w:type="dxa"/>
              <w:left w:w="115.0" w:type="dxa"/>
              <w:bottom w:w="43.0" w:type="dxa"/>
              <w:right w:w="115.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Contact peu fréquent (1)</w:t>
            </w:r>
          </w:p>
        </w:tc>
        <w:tc>
          <w:tcPr>
            <w:tcMar>
              <w:top w:w="43.0" w:type="dxa"/>
              <w:left w:w="115.0" w:type="dxa"/>
              <w:bottom w:w="43.0" w:type="dxa"/>
              <w:right w:w="115.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4–5</w:t>
            </w:r>
          </w:p>
        </w:tc>
      </w:tr>
    </w:tbl>
    <w:p w:rsidR="00000000" w:rsidDel="00000000" w:rsidP="00000000" w:rsidRDefault="00000000" w:rsidRPr="00000000" w14:paraId="00000084">
      <w:pPr>
        <w:rPr>
          <w:rFonts w:ascii="Arial" w:cs="Arial" w:eastAsia="Arial" w:hAnsi="Arial"/>
        </w:rPr>
      </w:pPr>
      <w:r w:rsidDel="00000000" w:rsidR="00000000" w:rsidRPr="00000000">
        <w:rPr>
          <w:rtl w:val="0"/>
        </w:rPr>
      </w:r>
    </w:p>
    <w:sectPr>
      <w:footerReference r:id="rId6" w:type="default"/>
      <w:footerReference r:id="rId7" w:type="even"/>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right="1620"/>
    </w:pPr>
    <w:rPr>
      <w:rFonts w:ascii="Trebuchet MS" w:cs="Trebuchet MS" w:eastAsia="Trebuchet MS" w:hAnsi="Trebuchet MS"/>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pPr>
    <w:rPr>
      <w:rFonts w:ascii="Trebuchet MS" w:cs="Trebuchet MS" w:eastAsia="Trebuchet MS" w:hAnsi="Trebuchet MS"/>
      <w:b w:val="1"/>
      <w:color w:val="000000"/>
      <w:sz w:val="24"/>
      <w:szCs w:val="24"/>
    </w:rPr>
  </w:style>
  <w:style w:type="paragraph" w:styleId="Heading3">
    <w:name w:val="heading 3"/>
    <w:basedOn w:val="Normal"/>
    <w:next w:val="Normal"/>
    <w:pPr>
      <w:keepNext w:val="1"/>
      <w:keepLines w:val="1"/>
      <w:spacing w:after="0" w:before="40" w:lineRule="auto"/>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