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WASH FIT – MODULE TECHNIQUE SUR LE NETTOYAGE DE L’ENVIRONNEMENT </w:t>
      </w:r>
    </w:p>
    <w:p w:rsidR="00000000" w:rsidDel="00000000" w:rsidP="00000000" w:rsidRDefault="00000000" w:rsidRPr="00000000" w14:paraId="00000002">
      <w:pPr>
        <w:pBdr>
          <w:bottom w:color="000000" w:space="1" w:sz="4" w:val="single"/>
        </w:pBdr>
        <w:jc w:val="center"/>
        <w:rPr>
          <w:rFonts w:ascii="Arial" w:cs="Arial" w:eastAsia="Arial" w:hAnsi="Arial"/>
          <w:b w:val="1"/>
        </w:rPr>
      </w:pPr>
      <w:r w:rsidDel="00000000" w:rsidR="00000000" w:rsidRPr="00000000">
        <w:rPr>
          <w:rFonts w:ascii="Arial" w:cs="Arial" w:eastAsia="Arial" w:hAnsi="Arial"/>
          <w:b w:val="1"/>
          <w:rtl w:val="0"/>
        </w:rPr>
        <w:t xml:space="preserve">Durée de l’exercice : 10 minutes  </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pStyle w:val="Heading1"/>
        <w:ind w:right="0"/>
        <w:rPr>
          <w:rFonts w:ascii="Arial" w:cs="Arial" w:eastAsia="Arial" w:hAnsi="Arial"/>
        </w:rPr>
      </w:pPr>
      <w:r w:rsidDel="00000000" w:rsidR="00000000" w:rsidRPr="00000000">
        <w:rPr>
          <w:rFonts w:ascii="Arial" w:cs="Arial" w:eastAsia="Arial" w:hAnsi="Arial"/>
          <w:rtl w:val="0"/>
        </w:rPr>
        <w:t xml:space="preserve">Évaluation des risques permettant de déterminer la fréquence et les types de nettoyage de l’environnement requis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240" w:before="240" w:line="240" w:lineRule="auto"/>
        <w:rPr>
          <w:rFonts w:ascii="Arial" w:cs="Arial" w:eastAsia="Arial" w:hAnsi="Arial"/>
          <w:color w:val="212121"/>
          <w:sz w:val="24"/>
          <w:szCs w:val="24"/>
        </w:rPr>
      </w:pPr>
      <w:r w:rsidDel="00000000" w:rsidR="00000000" w:rsidRPr="00000000">
        <w:rPr>
          <w:rFonts w:ascii="Arial" w:cs="Arial" w:eastAsia="Arial" w:hAnsi="Arial"/>
          <w:color w:val="212121"/>
          <w:sz w:val="24"/>
          <w:szCs w:val="24"/>
          <w:rtl w:val="0"/>
        </w:rPr>
        <w:t xml:space="preserve">[D’après les </w:t>
      </w:r>
      <w:r w:rsidDel="00000000" w:rsidR="00000000" w:rsidRPr="00000000">
        <w:rPr>
          <w:rFonts w:ascii="Arial" w:cs="Arial" w:eastAsia="Arial" w:hAnsi="Arial"/>
          <w:i w:val="1"/>
          <w:color w:val="212121"/>
          <w:sz w:val="24"/>
          <w:szCs w:val="24"/>
          <w:rtl w:val="0"/>
        </w:rPr>
        <w:t xml:space="preserve">Pratiques exemplaires de nettoyage de l’environnement</w:t>
      </w:r>
      <w:r w:rsidDel="00000000" w:rsidR="00000000" w:rsidRPr="00000000">
        <w:rPr>
          <w:rFonts w:ascii="Arial" w:cs="Arial" w:eastAsia="Arial" w:hAnsi="Arial"/>
          <w:color w:val="212121"/>
          <w:sz w:val="24"/>
          <w:szCs w:val="24"/>
          <w:rtl w:val="0"/>
        </w:rPr>
        <w:t xml:space="preserve">, PIDAC, 2018]</w:t>
      </w:r>
    </w:p>
    <w:p w:rsidR="00000000" w:rsidDel="00000000" w:rsidP="00000000" w:rsidRDefault="00000000" w:rsidRPr="00000000" w14:paraId="00000006">
      <w:pPr>
        <w:shd w:fill="b4c6e7" w:val="clear"/>
        <w:rPr>
          <w:b w:val="1"/>
          <w:sz w:val="26"/>
          <w:szCs w:val="26"/>
        </w:rPr>
      </w:pPr>
      <w:bookmarkStart w:colFirst="0" w:colLast="0" w:name="_30j0zll" w:id="1"/>
      <w:bookmarkEnd w:id="1"/>
      <w:r w:rsidDel="00000000" w:rsidR="00000000" w:rsidRPr="00000000">
        <w:rPr>
          <w:b w:val="1"/>
          <w:sz w:val="26"/>
          <w:szCs w:val="26"/>
          <w:rtl w:val="0"/>
        </w:rPr>
        <w:t xml:space="preserve">Étape 1 : Classer les facteurs de risque qui déterminent la nécessité d’un nettoyage de l’environnement – Probabilité de contamination par des agents pathogènes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rial" w:cs="Arial" w:eastAsia="Arial" w:hAnsi="Arial"/>
          <w:b w:val="1"/>
          <w:color w:val="212121"/>
        </w:rPr>
      </w:pPr>
      <w:r w:rsidDel="00000000" w:rsidR="00000000" w:rsidRPr="00000000">
        <w:rPr>
          <w:rFonts w:ascii="Arial" w:cs="Arial" w:eastAsia="Arial" w:hAnsi="Arial"/>
          <w:b w:val="1"/>
          <w:color w:val="212121"/>
          <w:rtl w:val="0"/>
        </w:rPr>
        <w:t xml:space="preserve">Forte contamination (note = 3)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On considère qu’une zone est fortement contaminée dès lors que ses surfaces et équipements sont exposés régulièrement à de grandes quantités de sang ou sécrétions (p. ex., salle de travail, salle d’autopsie, laboratoire de cathétérisme cardiaque, centre d’hémodialyse, service des urgences, toilettes des clients/patients/résidents si elles sont visiblement souillées).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b w:val="1"/>
          <w:color w:val="212121"/>
        </w:rPr>
      </w:pPr>
      <w:r w:rsidDel="00000000" w:rsidR="00000000" w:rsidRPr="00000000">
        <w:rPr>
          <w:rFonts w:ascii="Arial" w:cs="Arial" w:eastAsia="Arial" w:hAnsi="Arial"/>
          <w:b w:val="1"/>
          <w:color w:val="212121"/>
          <w:rtl w:val="0"/>
        </w:rPr>
        <w:t xml:space="preserve">Contamination modérée (note = 2)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On considère qu’une zone est modérément contaminée dès lors que ses surfaces et équipements ne sont pas exposés régulièrement à de grandes quantités de sang ou sécrétions (mais peuvent l’être) et que les substances contaminées sont contenues et éliminées (p. ex., draps souillés). Toutes les chambres et toilettes des clients/patients/résidents doivent être considérées au minimum comme des zones modérément contaminées.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b w:val="1"/>
          <w:color w:val="212121"/>
        </w:rPr>
      </w:pPr>
      <w:r w:rsidDel="00000000" w:rsidR="00000000" w:rsidRPr="00000000">
        <w:rPr>
          <w:rFonts w:ascii="Arial" w:cs="Arial" w:eastAsia="Arial" w:hAnsi="Arial"/>
          <w:b w:val="1"/>
          <w:color w:val="212121"/>
          <w:rtl w:val="0"/>
        </w:rPr>
        <w:t xml:space="preserve">Contamination légère (note = 1)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On considère qu’une zone est légèrement contaminée dès lors que ses surfaces ne sont pas exposées au sang, aux sécrétions ou aux objets étant entrés en contact avec du sang ou des sécrétions (p. ex., salles d’attente, bibliothèques, bureaux). </w:t>
      </w:r>
    </w:p>
    <w:p w:rsidR="00000000" w:rsidDel="00000000" w:rsidP="00000000" w:rsidRDefault="00000000" w:rsidRPr="00000000" w14:paraId="0000000D">
      <w:pPr>
        <w:pStyle w:val="Heading3"/>
        <w:spacing w:after="160" w:before="0" w:lineRule="auto"/>
        <w:rPr>
          <w:rFonts w:ascii="Arial" w:cs="Arial" w:eastAsia="Arial" w:hAnsi="Arial"/>
        </w:rPr>
      </w:pPr>
      <w:bookmarkStart w:colFirst="0" w:colLast="0" w:name="_1fob9te" w:id="2"/>
      <w:bookmarkEnd w:id="2"/>
      <w:r w:rsidDel="00000000" w:rsidR="00000000" w:rsidRPr="00000000">
        <w:rPr>
          <w:rFonts w:ascii="Arial" w:cs="Arial" w:eastAsia="Arial" w:hAnsi="Arial"/>
          <w:rtl w:val="0"/>
        </w:rPr>
        <w:t xml:space="preserve">Vulnérabilité des personnes aux infections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Plus vulnérable (note = 1)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Les clients/patients/résidents vulnérables sont plus vulnérables aux infections en raison de leur état de santé ou de leur faible immunité : personnes immunodéprimées (services d’oncologie, de transplantation et de chimiothérapie), nouveau-nés (pouponnières de niveau 2 et 3), brûlés graves (devant être soignés dans une unité spéciale).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Moins vulnérable (note = 0)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Dans le cadre de la stratification des risques à appliquer pour le nettoyage, les autres personnes et zones sont considérées comme moins vulnérables.</w:t>
      </w:r>
    </w:p>
    <w:p w:rsidR="00000000" w:rsidDel="00000000" w:rsidP="00000000" w:rsidRDefault="00000000" w:rsidRPr="00000000" w14:paraId="00000012">
      <w:pPr>
        <w:pStyle w:val="Heading3"/>
        <w:spacing w:after="160" w:before="0" w:lineRule="auto"/>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Risque d’exposition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Surfaces à contact fréquent (note = 3) :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Ces surfaces entrent fréquemment en contact avec les mains : poignées de porte, téléphones, sonnettes d’appel, barres de lit, interrupteurs, murs près des toilettes et rebords des rideaux de séparation.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Surfaces à contact peu fréquent (note = 1)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color w:val="212121"/>
        </w:rPr>
      </w:pPr>
      <w:r w:rsidDel="00000000" w:rsidR="00000000" w:rsidRPr="00000000">
        <w:rPr>
          <w:rFonts w:ascii="Arial" w:cs="Arial" w:eastAsia="Arial" w:hAnsi="Arial"/>
          <w:color w:val="212121"/>
          <w:rtl w:val="0"/>
        </w:rPr>
        <w:t xml:space="preserve">Ces surfaces entrent peu en contact avec les mains : murs, plafonds, miroirs. </w:t>
      </w:r>
    </w:p>
    <w:p w:rsidR="00000000" w:rsidDel="00000000" w:rsidP="00000000" w:rsidRDefault="00000000" w:rsidRPr="00000000" w14:paraId="00000017">
      <w:pPr>
        <w:shd w:fill="b4c6e7" w:val="clear"/>
        <w:rPr>
          <w:b w:val="1"/>
          <w:sz w:val="26"/>
          <w:szCs w:val="26"/>
        </w:rPr>
      </w:pPr>
      <w:bookmarkStart w:colFirst="0" w:colLast="0" w:name="_2et92p0" w:id="4"/>
      <w:bookmarkEnd w:id="4"/>
      <w:r w:rsidDel="00000000" w:rsidR="00000000" w:rsidRPr="00000000">
        <w:rPr>
          <w:b w:val="1"/>
          <w:sz w:val="26"/>
          <w:szCs w:val="26"/>
          <w:rtl w:val="0"/>
        </w:rPr>
        <w:t xml:space="preserve">Étape 2 : Déterminer la note globale de stratification des risques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240" w:before="24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La fréquence de nettoyage est déterminée par les facteurs répertoriés précédemment. Une note est attribuée si les facteurs sont présents, et la fréquence de nettoyage est déterminée par la note globale obtenue à partir de la matrice suivante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12121"/>
        </w:rPr>
      </w:pPr>
      <w:r w:rsidDel="00000000" w:rsidR="00000000" w:rsidRPr="00000000">
        <w:rPr>
          <w:rFonts w:ascii="Arial" w:cs="Arial" w:eastAsia="Arial" w:hAnsi="Arial"/>
          <w:b w:val="1"/>
          <w:color w:val="000000"/>
          <w:rtl w:val="0"/>
        </w:rPr>
        <w:t xml:space="preserve">Notes de stratification des risques pour les </w:t>
      </w:r>
      <w:r w:rsidDel="00000000" w:rsidR="00000000" w:rsidRPr="00000000">
        <w:rPr>
          <w:rFonts w:ascii="Arial" w:cs="Arial" w:eastAsia="Arial" w:hAnsi="Arial"/>
          <w:b w:val="1"/>
          <w:i w:val="1"/>
          <w:color w:val="000000"/>
          <w:rtl w:val="0"/>
        </w:rPr>
        <w:t xml:space="preserve">surfaces à contact fréquent</w:t>
      </w:r>
      <w:r w:rsidDel="00000000" w:rsidR="00000000" w:rsidRPr="00000000">
        <w:rPr>
          <w:rFonts w:ascii="Arial" w:cs="Arial" w:eastAsia="Arial" w:hAnsi="Arial"/>
          <w:b w:val="1"/>
          <w:color w:val="000000"/>
          <w:rtl w:val="0"/>
        </w:rPr>
        <w:t xml:space="preserve"> (note de risque d’exposition = 3)</w:t>
      </w: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shd w:fill="deeaf6" w:val="cle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Probabilité de contamination par des agents pathogènes </w:t>
            </w:r>
          </w:p>
        </w:tc>
        <w:tc>
          <w:tcPr>
            <w:shd w:fill="deeaf6" w:val="cle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Population plus vulnérable (note = 1) </w:t>
            </w:r>
          </w:p>
        </w:tc>
        <w:tc>
          <w:tcPr>
            <w:shd w:fill="deeaf6" w:val="cle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Population moins vulnérable </w:t>
              <w:br w:type="textWrapping"/>
              <w:t xml:space="preserve">(note = 0) </w:t>
            </w:r>
          </w:p>
        </w:tc>
      </w:tr>
      <w:tr>
        <w:trPr>
          <w:cantSplit w:val="0"/>
          <w:tblHeader w:val="0"/>
        </w:trPr>
        <w:tc>
          <w:tcPr>
            <w:tcMar>
              <w:top w:w="43.0" w:type="dxa"/>
              <w:left w:w="115.0" w:type="dxa"/>
              <w:bottom w:w="43.0" w:type="dxa"/>
              <w:right w:w="115.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Élevée (note = 3)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7 (3+3+1)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6 (3+3+0)</w:t>
            </w:r>
            <w:r w:rsidDel="00000000" w:rsidR="00000000" w:rsidRPr="00000000">
              <w:rPr>
                <w:rtl w:val="0"/>
              </w:rPr>
            </w:r>
          </w:p>
        </w:tc>
      </w:tr>
      <w:tr>
        <w:trPr>
          <w:cantSplit w:val="0"/>
          <w:tblHeader w:val="0"/>
        </w:trPr>
        <w:tc>
          <w:tcPr>
            <w:tcMar>
              <w:top w:w="43.0" w:type="dxa"/>
              <w:left w:w="115.0" w:type="dxa"/>
              <w:bottom w:w="43.0" w:type="dxa"/>
              <w:right w:w="115.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Moyenne (note = 2)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6 (3+2+1)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5 (3+2+0)</w:t>
            </w:r>
            <w:r w:rsidDel="00000000" w:rsidR="00000000" w:rsidRPr="00000000">
              <w:rPr>
                <w:rtl w:val="0"/>
              </w:rPr>
            </w:r>
          </w:p>
        </w:tc>
      </w:tr>
      <w:tr>
        <w:trPr>
          <w:cantSplit w:val="0"/>
          <w:tblHeader w:val="0"/>
        </w:trPr>
        <w:tc>
          <w:tcPr>
            <w:tcMar>
              <w:top w:w="43.0" w:type="dxa"/>
              <w:left w:w="115.0" w:type="dxa"/>
              <w:bottom w:w="43.0" w:type="dxa"/>
              <w:right w:w="115.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Faible (note = 1)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5 (3+1+1)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4 (3+1+0)</w:t>
            </w:r>
            <w:r w:rsidDel="00000000" w:rsidR="00000000" w:rsidRPr="00000000">
              <w:rPr>
                <w:rtl w:val="0"/>
              </w:rPr>
            </w:r>
          </w:p>
        </w:tc>
      </w:tr>
    </w:tb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212121"/>
        </w:rPr>
      </w:pPr>
      <w:r w:rsidDel="00000000" w:rsidR="00000000" w:rsidRPr="00000000">
        <w:rPr>
          <w:rFonts w:ascii="Arial" w:cs="Arial" w:eastAsia="Arial" w:hAnsi="Arial"/>
          <w:b w:val="1"/>
          <w:color w:val="000000"/>
          <w:rtl w:val="0"/>
        </w:rPr>
        <w:t xml:space="preserve">Notes de stratification des risques pour les </w:t>
      </w:r>
      <w:r w:rsidDel="00000000" w:rsidR="00000000" w:rsidRPr="00000000">
        <w:rPr>
          <w:rFonts w:ascii="Arial" w:cs="Arial" w:eastAsia="Arial" w:hAnsi="Arial"/>
          <w:b w:val="1"/>
          <w:i w:val="1"/>
          <w:color w:val="000000"/>
          <w:rtl w:val="0"/>
        </w:rPr>
        <w:t xml:space="preserve">surfaces à contact peu fréquent</w:t>
      </w:r>
      <w:r w:rsidDel="00000000" w:rsidR="00000000" w:rsidRPr="00000000">
        <w:rPr>
          <w:rFonts w:ascii="Arial" w:cs="Arial" w:eastAsia="Arial" w:hAnsi="Arial"/>
          <w:b w:val="1"/>
          <w:color w:val="000000"/>
          <w:rtl w:val="0"/>
        </w:rPr>
        <w:t xml:space="preserve"> (note de risque d’exposition = 1)</w:t>
      </w: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6"/>
        <w:gridCol w:w="3357"/>
        <w:gridCol w:w="3357"/>
        <w:tblGridChange w:id="0">
          <w:tblGrid>
            <w:gridCol w:w="3356"/>
            <w:gridCol w:w="3357"/>
            <w:gridCol w:w="3357"/>
          </w:tblGrid>
        </w:tblGridChange>
      </w:tblGrid>
      <w:tr>
        <w:trPr>
          <w:cantSplit w:val="1"/>
          <w:tblHeader w:val="1"/>
        </w:trPr>
        <w:tc>
          <w:tcPr>
            <w:shd w:fill="deeaf6"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Probabilité de contamination par des agents pathogènes </w:t>
            </w:r>
          </w:p>
        </w:tc>
        <w:tc>
          <w:tcPr>
            <w:shd w:fill="deeaf6"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Population plus vulnérable (note = 1) </w:t>
            </w:r>
          </w:p>
        </w:tc>
        <w:tc>
          <w:tcPr>
            <w:shd w:fill="deeaf6"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Population moins vulnérable </w:t>
              <w:br w:type="textWrapping"/>
              <w:t xml:space="preserve">(note = 0) </w:t>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Élevée (note = 3)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5 (1+3+1)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4 (1+3+0)</w:t>
            </w:r>
            <w:r w:rsidDel="00000000" w:rsidR="00000000" w:rsidRPr="00000000">
              <w:rPr>
                <w:rtl w:val="0"/>
              </w:rPr>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Moyenne (note = 2)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4 (1+2+1)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3 (1+2+0)</w:t>
            </w:r>
            <w:r w:rsidDel="00000000" w:rsidR="00000000" w:rsidRPr="00000000">
              <w:rPr>
                <w:rtl w:val="0"/>
              </w:rPr>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Faible (note = 1) </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3 (1+1+1)</w:t>
            </w: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212121"/>
              </w:rPr>
            </w:pPr>
            <w:r w:rsidDel="00000000" w:rsidR="00000000" w:rsidRPr="00000000">
              <w:rPr>
                <w:rFonts w:ascii="Arial" w:cs="Arial" w:eastAsia="Arial" w:hAnsi="Arial"/>
                <w:color w:val="000000"/>
                <w:rtl w:val="0"/>
              </w:rPr>
              <w:t xml:space="preserve">2 (1+1+0)</w:t>
            </w:r>
            <w:r w:rsidDel="00000000" w:rsidR="00000000" w:rsidRPr="00000000">
              <w:rPr>
                <w:rtl w:val="0"/>
              </w:rPr>
            </w:r>
          </w:p>
        </w:tc>
      </w:tr>
    </w:tbl>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tl w:val="0"/>
        </w:rPr>
      </w:r>
    </w:p>
    <w:p w:rsidR="00000000" w:rsidDel="00000000" w:rsidP="00000000" w:rsidRDefault="00000000" w:rsidRPr="00000000" w14:paraId="00000035">
      <w:pPr>
        <w:pStyle w:val="Heading2"/>
        <w:rPr>
          <w:rFonts w:ascii="Arial" w:cs="Arial" w:eastAsia="Arial" w:hAnsi="Arial"/>
        </w:rPr>
      </w:pPr>
      <w:bookmarkStart w:colFirst="0" w:colLast="0" w:name="_tyjcwt" w:id="5"/>
      <w:bookmarkEnd w:id="5"/>
      <w:r w:rsidDel="00000000" w:rsidR="00000000" w:rsidRPr="00000000">
        <w:rPr>
          <w:rFonts w:ascii="Arial" w:cs="Arial" w:eastAsia="Arial" w:hAnsi="Arial"/>
          <w:rtl w:val="0"/>
        </w:rPr>
        <w:t xml:space="preserve">ÉTAPE 3 : Déterminer la fréquence de nettoyage en fonction de la matrice de stratification des risques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La fréquence de nettoyage de chaque zone de soins dépend de la note globale obtenue à l’aide de la matrice de stratification des risques présentée précédemment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b w:val="1"/>
          <w:color w:val="000000"/>
          <w:rtl w:val="0"/>
        </w:rPr>
        <w:t xml:space="preserve">Fréquence de nettoyage selon la note globale de risque</w:t>
      </w: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7"/>
        <w:gridCol w:w="1700"/>
        <w:gridCol w:w="6563"/>
        <w:tblGridChange w:id="0">
          <w:tblGrid>
            <w:gridCol w:w="1807"/>
            <w:gridCol w:w="1700"/>
            <w:gridCol w:w="6563"/>
          </w:tblGrid>
        </w:tblGridChange>
      </w:tblGrid>
      <w:tr>
        <w:trPr>
          <w:cantSplit w:val="1"/>
          <w:tblHeader w:val="1"/>
        </w:trPr>
        <w:tc>
          <w:tcPr>
            <w:shd w:fill="deeaf6" w:val="cle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ffff"/>
              </w:rPr>
            </w:pPr>
            <w:r w:rsidDel="00000000" w:rsidR="00000000" w:rsidRPr="00000000">
              <w:rPr>
                <w:rFonts w:ascii="Arial" w:cs="Arial" w:eastAsia="Arial" w:hAnsi="Arial"/>
                <w:b w:val="1"/>
                <w:color w:val="000000"/>
                <w:rtl w:val="0"/>
              </w:rPr>
              <w:t xml:space="preserve">Note globale de risque </w:t>
            </w:r>
            <w:r w:rsidDel="00000000" w:rsidR="00000000" w:rsidRPr="00000000">
              <w:rPr>
                <w:rtl w:val="0"/>
              </w:rPr>
            </w:r>
          </w:p>
        </w:tc>
        <w:tc>
          <w:tcPr>
            <w:shd w:fill="deeaf6" w:val="cle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ffff"/>
              </w:rPr>
            </w:pPr>
            <w:r w:rsidDel="00000000" w:rsidR="00000000" w:rsidRPr="00000000">
              <w:rPr>
                <w:rFonts w:ascii="Arial" w:cs="Arial" w:eastAsia="Arial" w:hAnsi="Arial"/>
                <w:b w:val="1"/>
                <w:color w:val="000000"/>
                <w:rtl w:val="0"/>
              </w:rPr>
              <w:t xml:space="preserve">Type de risque </w:t>
            </w:r>
            <w:r w:rsidDel="00000000" w:rsidR="00000000" w:rsidRPr="00000000">
              <w:rPr>
                <w:rtl w:val="0"/>
              </w:rPr>
            </w:r>
          </w:p>
        </w:tc>
        <w:tc>
          <w:tcPr>
            <w:shd w:fill="deeaf6"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ffff"/>
              </w:rPr>
            </w:pPr>
            <w:r w:rsidDel="00000000" w:rsidR="00000000" w:rsidRPr="00000000">
              <w:rPr>
                <w:rFonts w:ascii="Arial" w:cs="Arial" w:eastAsia="Arial" w:hAnsi="Arial"/>
                <w:b w:val="1"/>
                <w:color w:val="000000"/>
                <w:rtl w:val="0"/>
              </w:rPr>
              <w:t xml:space="preserve">Fréquence minimale de nettoyage </w:t>
            </w:r>
            <w:r w:rsidDel="00000000" w:rsidR="00000000" w:rsidRPr="00000000">
              <w:rPr>
                <w:rtl w:val="0"/>
              </w:rPr>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7</w:t>
            </w:r>
          </w:p>
        </w:tc>
        <w:tc>
          <w:tcPr>
            <w:tcMar>
              <w:top w:w="43.0" w:type="dxa"/>
              <w:left w:w="115.0" w:type="dxa"/>
              <w:bottom w:w="43.0" w:type="dxa"/>
              <w:right w:w="115.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Risque élevé </w:t>
            </w: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Nettoyer après chaque cas/événement/procédure, et nettoyage supplémentaire si nécessaire </w:t>
            </w:r>
            <w:r w:rsidDel="00000000" w:rsidR="00000000" w:rsidRPr="00000000">
              <w:rPr>
                <w:rtl w:val="0"/>
              </w:rPr>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4-6</w:t>
            </w:r>
          </w:p>
        </w:tc>
        <w:tc>
          <w:tcPr>
            <w:tcMar>
              <w:top w:w="43.0" w:type="dxa"/>
              <w:left w:w="115.0" w:type="dxa"/>
              <w:bottom w:w="43.0" w:type="dxa"/>
              <w:right w:w="115.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Risque modéré </w:t>
            </w: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Nettoyer au moins une fois par jour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Nettoyage supplémentaire si nécessaire (p. ex., en cas de souillures importantes)</w:t>
            </w:r>
            <w:r w:rsidDel="00000000" w:rsidR="00000000" w:rsidRPr="00000000">
              <w:rPr>
                <w:rtl w:val="0"/>
              </w:rPr>
            </w:r>
          </w:p>
        </w:tc>
      </w:tr>
      <w:tr>
        <w:trPr>
          <w:cantSplit w:val="1"/>
          <w:tblHeader w:val="0"/>
        </w:trPr>
        <w:tc>
          <w:tcPr>
            <w:tcMar>
              <w:top w:w="43.0" w:type="dxa"/>
              <w:left w:w="115.0" w:type="dxa"/>
              <w:bottom w:w="43.0" w:type="dxa"/>
              <w:right w:w="115.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2–3</w:t>
            </w:r>
          </w:p>
        </w:tc>
        <w:tc>
          <w:tcPr>
            <w:tcMar>
              <w:top w:w="43.0" w:type="dxa"/>
              <w:left w:w="115.0" w:type="dxa"/>
              <w:bottom w:w="43.0" w:type="dxa"/>
              <w:right w:w="115.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Risque faible </w:t>
            </w: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Nettoyer à intervalles réguliers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000000"/>
                <w:rtl w:val="0"/>
              </w:rPr>
              <w:t xml:space="preserve">Nettoyage supplémentaire si nécessaire (p. ex., en cas de souillures importantes) </w:t>
            </w:r>
            <w:r w:rsidDel="00000000" w:rsidR="00000000" w:rsidRPr="00000000">
              <w:rPr>
                <w:rtl w:val="0"/>
              </w:rPr>
            </w:r>
          </w:p>
        </w:tc>
      </w:tr>
    </w:tbl>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EXEMPLES : </w:t>
      </w:r>
    </w:p>
    <w:tbl>
      <w:tblPr>
        <w:tblStyle w:val="Table4"/>
        <w:tblW w:w="1041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2"/>
        <w:gridCol w:w="2020"/>
        <w:gridCol w:w="1978"/>
        <w:gridCol w:w="1917"/>
        <w:gridCol w:w="1844"/>
        <w:tblGridChange w:id="0">
          <w:tblGrid>
            <w:gridCol w:w="2652"/>
            <w:gridCol w:w="2020"/>
            <w:gridCol w:w="1978"/>
            <w:gridCol w:w="1917"/>
            <w:gridCol w:w="1844"/>
          </w:tblGrid>
        </w:tblGridChange>
      </w:tblGrid>
      <w:tr>
        <w:trPr>
          <w:cantSplit w:val="1"/>
          <w:tblHeader w:val="1"/>
        </w:trPr>
        <w:tc>
          <w:tcPr>
            <w:shd w:fill="deeaf6" w:val="clear"/>
            <w:vAlign w:val="bottom"/>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ffff"/>
              </w:rPr>
            </w:pPr>
            <w:r w:rsidDel="00000000" w:rsidR="00000000" w:rsidRPr="00000000">
              <w:rPr>
                <w:rFonts w:ascii="Arial" w:cs="Arial" w:eastAsia="Arial" w:hAnsi="Arial"/>
                <w:b w:val="1"/>
                <w:color w:val="000000"/>
                <w:rtl w:val="0"/>
              </w:rPr>
              <w:t xml:space="preserve">Lieu</w:t>
            </w:r>
            <w:r w:rsidDel="00000000" w:rsidR="00000000" w:rsidRPr="00000000">
              <w:rPr>
                <w:rtl w:val="0"/>
              </w:rPr>
            </w:r>
          </w:p>
        </w:tc>
        <w:tc>
          <w:tcPr>
            <w:shd w:fill="deeaf6" w:val="clear"/>
            <w:vAlign w:val="bottom"/>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Probabilité de contamination</w:t>
            </w:r>
          </w:p>
        </w:tc>
        <w:tc>
          <w:tcPr>
            <w:shd w:fill="deeaf6" w:val="clear"/>
            <w:vAlign w:val="bottom"/>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Vulnérabilité des personnes</w:t>
            </w:r>
          </w:p>
        </w:tc>
        <w:tc>
          <w:tcPr>
            <w:shd w:fill="deeaf6" w:val="clear"/>
            <w:vAlign w:val="bottom"/>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ffff"/>
              </w:rPr>
            </w:pPr>
            <w:r w:rsidDel="00000000" w:rsidR="00000000" w:rsidRPr="00000000">
              <w:rPr>
                <w:rFonts w:ascii="Arial" w:cs="Arial" w:eastAsia="Arial" w:hAnsi="Arial"/>
                <w:b w:val="1"/>
                <w:color w:val="000000"/>
                <w:rtl w:val="0"/>
              </w:rPr>
              <w:t xml:space="preserve">Risque d’exposition</w:t>
            </w:r>
            <w:r w:rsidDel="00000000" w:rsidR="00000000" w:rsidRPr="00000000">
              <w:rPr>
                <w:rtl w:val="0"/>
              </w:rPr>
            </w:r>
          </w:p>
        </w:tc>
        <w:tc>
          <w:tcPr>
            <w:shd w:fill="deeaf6" w:val="clear"/>
            <w:vAlign w:val="bottom"/>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Note globale</w:t>
            </w:r>
          </w:p>
        </w:tc>
      </w:tr>
      <w:tr>
        <w:trPr>
          <w:cantSplit w:val="1"/>
          <w:trHeight w:val="270" w:hRule="atLeast"/>
          <w:tblHeader w:val="0"/>
        </w:trPr>
        <w:tc>
          <w:tcPr>
            <w:vMerge w:val="restart"/>
            <w:tcMar>
              <w:top w:w="43.0" w:type="dxa"/>
              <w:left w:w="115.0" w:type="dxa"/>
              <w:bottom w:w="43.0" w:type="dxa"/>
              <w:right w:w="115.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Unité de soins aux brûlés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tl w:val="0"/>
              </w:rPr>
            </w:r>
          </w:p>
        </w:tc>
        <w:tc>
          <w:tcPr>
            <w:vMerge w:val="restart"/>
            <w:tcMar>
              <w:top w:w="43.0" w:type="dxa"/>
              <w:left w:w="115.0" w:type="dxa"/>
              <w:bottom w:w="43.0" w:type="dxa"/>
              <w:right w:w="115.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vMerge w:val="restart"/>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Mar>
              <w:top w:w="43.0" w:type="dxa"/>
              <w:left w:w="115.0" w:type="dxa"/>
              <w:bottom w:w="43.0" w:type="dxa"/>
              <w:right w:w="115.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fréquent (3)</w:t>
            </w:r>
          </w:p>
        </w:tc>
        <w:tc>
          <w:tcPr>
            <w:tcMar>
              <w:top w:w="43.0" w:type="dxa"/>
              <w:left w:w="115.0" w:type="dxa"/>
              <w:bottom w:w="43.0" w:type="dxa"/>
              <w:right w:w="115.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w:t>
            </w:r>
          </w:p>
        </w:tc>
      </w:tr>
      <w:tr>
        <w:trPr>
          <w:cantSplit w:val="1"/>
          <w:trHeight w:val="270" w:hRule="atLeast"/>
          <w:tblHeader w:val="0"/>
        </w:trPr>
        <w:tc>
          <w:tcPr>
            <w:vMerge w:val="continue"/>
            <w:tcMar>
              <w:top w:w="43.0" w:type="dxa"/>
              <w:left w:w="115.0" w:type="dxa"/>
              <w:bottom w:w="43.0" w:type="dxa"/>
              <w:right w:w="115.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Mar>
              <w:top w:w="43.0" w:type="dxa"/>
              <w:left w:w="115.0" w:type="dxa"/>
              <w:bottom w:w="43.0" w:type="dxa"/>
              <w:right w:w="115.0" w:type="dxa"/>
            </w:tcM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peu fréquent (1)</w:t>
            </w:r>
          </w:p>
        </w:tc>
        <w:tc>
          <w:tcPr>
            <w:tcMar>
              <w:top w:w="43.0" w:type="dxa"/>
              <w:left w:w="115.0" w:type="dxa"/>
              <w:bottom w:w="43.0" w:type="dxa"/>
              <w:right w:w="115.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w:t>
            </w:r>
          </w:p>
        </w:tc>
      </w:tr>
      <w:tr>
        <w:trPr>
          <w:cantSplit w:val="1"/>
          <w:trHeight w:val="270" w:hRule="atLeast"/>
          <w:tblHeader w:val="0"/>
        </w:trPr>
        <w:tc>
          <w:tcPr>
            <w:vMerge w:val="restart"/>
            <w:tcMar>
              <w:top w:w="43.0" w:type="dxa"/>
              <w:left w:w="115.0" w:type="dxa"/>
              <w:bottom w:w="43.0" w:type="dxa"/>
              <w:right w:w="115.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Service général d’hospitalisation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tl w:val="0"/>
              </w:rPr>
            </w:r>
          </w:p>
        </w:tc>
        <w:tc>
          <w:tcPr>
            <w:vMerge w:val="restart"/>
            <w:tcMar>
              <w:top w:w="43.0" w:type="dxa"/>
              <w:left w:w="115.0" w:type="dxa"/>
              <w:bottom w:w="43.0" w:type="dxa"/>
              <w:right w:w="115.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vMerge w:val="restart"/>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0</w:t>
            </w:r>
          </w:p>
        </w:tc>
        <w:tc>
          <w:tcPr>
            <w:tcMar>
              <w:top w:w="43.0" w:type="dxa"/>
              <w:left w:w="115.0" w:type="dxa"/>
              <w:bottom w:w="43.0" w:type="dxa"/>
              <w:right w:w="115.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fréquent (3)</w:t>
            </w:r>
          </w:p>
        </w:tc>
        <w:tc>
          <w:tcPr>
            <w:tcMar>
              <w:top w:w="43.0" w:type="dxa"/>
              <w:left w:w="115.0" w:type="dxa"/>
              <w:bottom w:w="43.0" w:type="dxa"/>
              <w:right w:w="115.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w:t>
            </w:r>
          </w:p>
        </w:tc>
      </w:tr>
      <w:tr>
        <w:trPr>
          <w:cantSplit w:val="1"/>
          <w:trHeight w:val="270" w:hRule="atLeast"/>
          <w:tblHeader w:val="0"/>
        </w:trPr>
        <w:tc>
          <w:tcPr>
            <w:vMerge w:val="continue"/>
            <w:tcMar>
              <w:top w:w="43.0" w:type="dxa"/>
              <w:left w:w="115.0" w:type="dxa"/>
              <w:bottom w:w="43.0" w:type="dxa"/>
              <w:right w:w="115.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Mar>
              <w:top w:w="43.0" w:type="dxa"/>
              <w:left w:w="115.0" w:type="dxa"/>
              <w:bottom w:w="43.0" w:type="dxa"/>
              <w:right w:w="115.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peu fréquent (1)</w:t>
            </w:r>
          </w:p>
        </w:tc>
        <w:tc>
          <w:tcPr>
            <w:tcMar>
              <w:top w:w="43.0" w:type="dxa"/>
              <w:left w:w="115.0" w:type="dxa"/>
              <w:bottom w:w="43.0" w:type="dxa"/>
              <w:right w:w="115.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3</w:t>
            </w:r>
          </w:p>
        </w:tc>
      </w:tr>
      <w:tr>
        <w:trPr>
          <w:cantSplit w:val="1"/>
          <w:trHeight w:val="270" w:hRule="atLeast"/>
          <w:tblHeader w:val="0"/>
        </w:trPr>
        <w:tc>
          <w:tcPr>
            <w:vMerge w:val="restart"/>
            <w:tcMar>
              <w:top w:w="43.0" w:type="dxa"/>
              <w:left w:w="115.0" w:type="dxa"/>
              <w:bottom w:w="43.0" w:type="dxa"/>
              <w:right w:w="115.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Unité de soins intensifs</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tl w:val="0"/>
              </w:rPr>
            </w:r>
          </w:p>
        </w:tc>
        <w:tc>
          <w:tcPr>
            <w:vMerge w:val="restart"/>
            <w:tcMar>
              <w:top w:w="43.0" w:type="dxa"/>
              <w:left w:w="115.0" w:type="dxa"/>
              <w:bottom w:w="43.0" w:type="dxa"/>
              <w:right w:w="115.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vMerge w:val="restart"/>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Mar>
              <w:top w:w="43.0" w:type="dxa"/>
              <w:left w:w="115.0" w:type="dxa"/>
              <w:bottom w:w="43.0" w:type="dxa"/>
              <w:right w:w="115.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fréquent (3)</w:t>
            </w:r>
          </w:p>
        </w:tc>
        <w:tc>
          <w:tcPr>
            <w:tcMar>
              <w:top w:w="43.0" w:type="dxa"/>
              <w:left w:w="115.0" w:type="dxa"/>
              <w:bottom w:w="43.0" w:type="dxa"/>
              <w:right w:w="115.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r>
      <w:tr>
        <w:trPr>
          <w:cantSplit w:val="1"/>
          <w:trHeight w:val="270" w:hRule="atLeast"/>
          <w:tblHeader w:val="0"/>
        </w:trPr>
        <w:tc>
          <w:tcPr>
            <w:vMerge w:val="continue"/>
            <w:tcMar>
              <w:top w:w="43.0" w:type="dxa"/>
              <w:left w:w="115.0" w:type="dxa"/>
              <w:bottom w:w="43.0" w:type="dxa"/>
              <w:right w:w="115.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Mar>
              <w:top w:w="43.0" w:type="dxa"/>
              <w:left w:w="115.0" w:type="dxa"/>
              <w:bottom w:w="43.0" w:type="dxa"/>
              <w:right w:w="115.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peu fréquent (1)</w:t>
            </w:r>
          </w:p>
        </w:tc>
        <w:tc>
          <w:tcPr>
            <w:tcMar>
              <w:top w:w="43.0" w:type="dxa"/>
              <w:left w:w="115.0" w:type="dxa"/>
              <w:bottom w:w="43.0" w:type="dxa"/>
              <w:right w:w="115.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w:t>
            </w:r>
          </w:p>
        </w:tc>
      </w:tr>
      <w:tr>
        <w:trPr>
          <w:cantSplit w:val="1"/>
          <w:trHeight w:val="135" w:hRule="atLeast"/>
          <w:tblHeader w:val="0"/>
        </w:trPr>
        <w:tc>
          <w:tcPr>
            <w:vMerge w:val="restart"/>
            <w:tcMar>
              <w:top w:w="43.0" w:type="dxa"/>
              <w:left w:w="115.0" w:type="dxa"/>
              <w:bottom w:w="43.0" w:type="dxa"/>
              <w:right w:w="115.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Précautions de contact (</w:t>
            </w:r>
            <w:r w:rsidDel="00000000" w:rsidR="00000000" w:rsidRPr="00000000">
              <w:rPr>
                <w:rFonts w:ascii="Arial" w:cs="Arial" w:eastAsia="Arial" w:hAnsi="Arial"/>
                <w:i w:val="1"/>
                <w:color w:val="212121"/>
                <w:rtl w:val="0"/>
              </w:rPr>
              <w:t xml:space="preserve">Candida auris, acinetobacter</w:t>
            </w:r>
            <w:r w:rsidDel="00000000" w:rsidR="00000000" w:rsidRPr="00000000">
              <w:rPr>
                <w:rFonts w:ascii="Arial" w:cs="Arial" w:eastAsia="Arial" w:hAnsi="Arial"/>
                <w:color w:val="212121"/>
                <w:rtl w:val="0"/>
              </w:rPr>
              <w:t xml:space="preserve">)</w:t>
            </w:r>
          </w:p>
        </w:tc>
        <w:tc>
          <w:tcPr>
            <w:vMerge w:val="restart"/>
            <w:tcMar>
              <w:top w:w="43.0" w:type="dxa"/>
              <w:left w:w="115.0" w:type="dxa"/>
              <w:bottom w:w="43.0" w:type="dxa"/>
              <w:right w:w="115.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vMerge w:val="restart"/>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Mar>
              <w:top w:w="43.0" w:type="dxa"/>
              <w:left w:w="115.0" w:type="dxa"/>
              <w:bottom w:w="43.0" w:type="dxa"/>
              <w:right w:w="115.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fréquent (3)</w:t>
            </w:r>
          </w:p>
        </w:tc>
        <w:tc>
          <w:tcPr>
            <w:tcMar>
              <w:top w:w="43.0" w:type="dxa"/>
              <w:left w:w="115.0" w:type="dxa"/>
              <w:bottom w:w="43.0" w:type="dxa"/>
              <w:right w:w="115.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w:t>
            </w:r>
          </w:p>
        </w:tc>
      </w:tr>
      <w:tr>
        <w:trPr>
          <w:cantSplit w:val="1"/>
          <w:trHeight w:val="135" w:hRule="atLeast"/>
          <w:tblHeader w:val="0"/>
        </w:trPr>
        <w:tc>
          <w:tcPr>
            <w:vMerge w:val="continue"/>
            <w:tcMar>
              <w:top w:w="43.0" w:type="dxa"/>
              <w:left w:w="115.0" w:type="dxa"/>
              <w:bottom w:w="43.0" w:type="dxa"/>
              <w:right w:w="115.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Mar>
              <w:top w:w="43.0" w:type="dxa"/>
              <w:left w:w="115.0" w:type="dxa"/>
              <w:bottom w:w="43.0" w:type="dxa"/>
              <w:right w:w="115.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peu fréquent (1)</w:t>
            </w:r>
          </w:p>
        </w:tc>
        <w:tc>
          <w:tcPr>
            <w:tcMar>
              <w:top w:w="43.0" w:type="dxa"/>
              <w:left w:w="115.0" w:type="dxa"/>
              <w:bottom w:w="43.0" w:type="dxa"/>
              <w:right w:w="115.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r>
      <w:tr>
        <w:trPr>
          <w:cantSplit w:val="1"/>
          <w:trHeight w:val="135" w:hRule="atLeast"/>
          <w:tblHeader w:val="0"/>
        </w:trPr>
        <w:tc>
          <w:tcPr>
            <w:vMerge w:val="restart"/>
            <w:tcMar>
              <w:top w:w="43.0" w:type="dxa"/>
              <w:left w:w="115.0" w:type="dxa"/>
              <w:bottom w:w="43.0" w:type="dxa"/>
              <w:right w:w="115.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12121"/>
              </w:rPr>
            </w:pPr>
            <w:r w:rsidDel="00000000" w:rsidR="00000000" w:rsidRPr="00000000">
              <w:rPr>
                <w:rFonts w:ascii="Arial" w:cs="Arial" w:eastAsia="Arial" w:hAnsi="Arial"/>
                <w:color w:val="212121"/>
                <w:rtl w:val="0"/>
              </w:rPr>
              <w:t xml:space="preserve">Contact/goutelettes/contamination aérienne (?) Précautions (coronavirus)</w:t>
            </w:r>
          </w:p>
        </w:tc>
        <w:tc>
          <w:tcPr>
            <w:vMerge w:val="restart"/>
            <w:tcMar>
              <w:top w:w="43.0" w:type="dxa"/>
              <w:left w:w="115.0" w:type="dxa"/>
              <w:bottom w:w="43.0" w:type="dxa"/>
              <w:right w:w="115.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vMerge w:val="restart"/>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tcMar>
              <w:top w:w="43.0" w:type="dxa"/>
              <w:left w:w="115.0" w:type="dxa"/>
              <w:bottom w:w="43.0" w:type="dxa"/>
              <w:right w:w="115.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fréquent (3)</w:t>
            </w:r>
          </w:p>
        </w:tc>
        <w:tc>
          <w:tcPr>
            <w:tcMar>
              <w:top w:w="43.0" w:type="dxa"/>
              <w:left w:w="115.0" w:type="dxa"/>
              <w:bottom w:w="43.0" w:type="dxa"/>
              <w:right w:w="115.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6-7</w:t>
            </w:r>
          </w:p>
        </w:tc>
      </w:tr>
      <w:tr>
        <w:trPr>
          <w:cantSplit w:val="1"/>
          <w:trHeight w:val="135" w:hRule="atLeast"/>
          <w:tblHeader w:val="0"/>
        </w:trPr>
        <w:tc>
          <w:tcPr>
            <w:vMerge w:val="continue"/>
            <w:tcMar>
              <w:top w:w="43.0" w:type="dxa"/>
              <w:left w:w="115.0" w:type="dxa"/>
              <w:bottom w:w="43.0" w:type="dxa"/>
              <w:right w:w="115.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Mar>
              <w:top w:w="43.0" w:type="dxa"/>
              <w:left w:w="115.0" w:type="dxa"/>
              <w:bottom w:w="43.0" w:type="dxa"/>
              <w:right w:w="115.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tcMar>
              <w:top w:w="43.0" w:type="dxa"/>
              <w:left w:w="115.0" w:type="dxa"/>
              <w:bottom w:w="43.0" w:type="dxa"/>
              <w:right w:w="115.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Contact peu fréquent (1)</w:t>
            </w:r>
          </w:p>
        </w:tc>
        <w:tc>
          <w:tcPr>
            <w:tcMar>
              <w:top w:w="43.0" w:type="dxa"/>
              <w:left w:w="115.0" w:type="dxa"/>
              <w:bottom w:w="43.0" w:type="dxa"/>
              <w:right w:w="115.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4–5</w:t>
            </w:r>
          </w:p>
        </w:tc>
      </w:tr>
    </w:tbl>
    <w:p w:rsidR="00000000" w:rsidDel="00000000" w:rsidP="00000000" w:rsidRDefault="00000000" w:rsidRPr="00000000" w14:paraId="00000084">
      <w:pPr>
        <w:rPr>
          <w:rFonts w:ascii="Arial" w:cs="Arial" w:eastAsia="Arial" w:hAnsi="Arial"/>
        </w:rPr>
      </w:pPr>
      <w:r w:rsidDel="00000000" w:rsidR="00000000" w:rsidRPr="00000000">
        <w:rPr>
          <w:rtl w:val="0"/>
        </w:rPr>
      </w:r>
    </w:p>
    <w:sectPr>
      <w:footerReference r:id="rId6" w:type="default"/>
      <w:footerReference r:id="rId7"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right="1620"/>
    </w:pPr>
    <w:rPr>
      <w:rFonts w:ascii="Trebuchet MS" w:cs="Trebuchet MS" w:eastAsia="Trebuchet MS" w:hAnsi="Trebuchet MS"/>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pPr>
    <w:rPr>
      <w:rFonts w:ascii="Trebuchet MS" w:cs="Trebuchet MS" w:eastAsia="Trebuchet MS" w:hAnsi="Trebuchet MS"/>
      <w:b w:val="1"/>
      <w:color w:val="000000"/>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